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887C" w14:textId="220E5127" w:rsidR="005431D7" w:rsidRPr="00B84CEE" w:rsidRDefault="005431D7" w:rsidP="005431D7">
      <w:pPr>
        <w:pStyle w:val="Kop1"/>
        <w:spacing w:line="276" w:lineRule="auto"/>
        <w:rPr>
          <w:lang w:val="nl-NL"/>
        </w:rPr>
      </w:pPr>
      <w:r w:rsidRPr="00B84CEE">
        <w:rPr>
          <w:lang w:val="nl-NL"/>
        </w:rPr>
        <w:t>Beoordeling</w:t>
      </w:r>
      <w:r w:rsidR="00E14F81" w:rsidRPr="00B84CEE">
        <w:rPr>
          <w:lang w:val="nl-NL"/>
        </w:rPr>
        <w:t>sformulier</w:t>
      </w:r>
      <w:r w:rsidRPr="00B84CEE">
        <w:rPr>
          <w:lang w:val="nl-NL"/>
        </w:rPr>
        <w:t xml:space="preserve"> integral</w:t>
      </w:r>
      <w:r w:rsidR="00ED5A0A" w:rsidRPr="00B84CEE">
        <w:rPr>
          <w:lang w:val="nl-NL"/>
        </w:rPr>
        <w:t xml:space="preserve">e eindtoets niveau 2 (jaar 3) </w:t>
      </w:r>
      <w:r w:rsidR="002959B9" w:rsidRPr="00B84CEE">
        <w:rPr>
          <w:lang w:val="nl-NL"/>
        </w:rPr>
        <w:t xml:space="preserve">voltijd </w:t>
      </w:r>
    </w:p>
    <w:p w14:paraId="4726D691" w14:textId="77777777" w:rsidR="002959B9" w:rsidRPr="00B84CEE" w:rsidRDefault="002959B9" w:rsidP="002959B9">
      <w:pPr>
        <w:pStyle w:val="Kop4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8D094F" w:rsidRPr="00DA39F2" w14:paraId="743B4A61" w14:textId="6864E066" w:rsidTr="008D094F">
        <w:tc>
          <w:tcPr>
            <w:tcW w:w="12895" w:type="dxa"/>
          </w:tcPr>
          <w:p w14:paraId="3669B69F" w14:textId="3CF01F32" w:rsidR="008D094F" w:rsidRPr="00B84CEE" w:rsidRDefault="008D094F" w:rsidP="00081326">
            <w:pPr>
              <w:pStyle w:val="Kop4"/>
              <w:outlineLvl w:val="3"/>
              <w:rPr>
                <w:sz w:val="20"/>
                <w:szCs w:val="20"/>
                <w:lang w:val="nl-NL"/>
              </w:rPr>
            </w:pPr>
            <w:r w:rsidRPr="00B84CEE">
              <w:rPr>
                <w:sz w:val="20"/>
                <w:szCs w:val="20"/>
                <w:lang w:val="nl-NL"/>
              </w:rPr>
              <w:t>Voltijd</w:t>
            </w:r>
            <w:r w:rsidRPr="00B84CEE">
              <w:rPr>
                <w:sz w:val="20"/>
                <w:szCs w:val="20"/>
                <w:lang w:val="nl-NL"/>
              </w:rPr>
              <w:br/>
            </w:r>
            <w:r w:rsidRPr="00B84CEE">
              <w:rPr>
                <w:sz w:val="20"/>
                <w:szCs w:val="20"/>
                <w:lang w:val="nl-NL"/>
              </w:rPr>
              <w:br/>
              <w:t>OWE: Integraal handelen in de beroepspraktijk</w:t>
            </w:r>
            <w:r w:rsidR="004D3A31" w:rsidRPr="00B84CEE">
              <w:rPr>
                <w:sz w:val="20"/>
                <w:szCs w:val="20"/>
                <w:lang w:val="nl-NL"/>
              </w:rPr>
              <w:t xml:space="preserve"> </w:t>
            </w:r>
            <w:r w:rsidRPr="00B84CEE">
              <w:rPr>
                <w:sz w:val="20"/>
                <w:szCs w:val="20"/>
                <w:lang w:val="nl-NL"/>
              </w:rPr>
              <w:t xml:space="preserve">2 </w:t>
            </w:r>
          </w:p>
          <w:p w14:paraId="69D95F62" w14:textId="729C5B8B" w:rsidR="008D094F" w:rsidRPr="00B84CEE" w:rsidRDefault="008D094F" w:rsidP="00081326">
            <w:pPr>
              <w:pStyle w:val="Kop4"/>
              <w:outlineLvl w:val="3"/>
              <w:rPr>
                <w:sz w:val="20"/>
                <w:szCs w:val="20"/>
                <w:lang w:val="nl-NL"/>
              </w:rPr>
            </w:pPr>
            <w:r w:rsidRPr="00B84CEE">
              <w:rPr>
                <w:sz w:val="20"/>
                <w:szCs w:val="20"/>
                <w:lang w:val="nl-NL"/>
              </w:rPr>
              <w:t>Deeltentamen: integrale toets/portfoliobeoordeling integraal handelen niveau 2</w:t>
            </w:r>
          </w:p>
          <w:p w14:paraId="108FB5BA" w14:textId="60875B07" w:rsidR="008D094F" w:rsidRPr="00B84CEE" w:rsidRDefault="008D094F" w:rsidP="007331AC">
            <w:pPr>
              <w:pStyle w:val="Kop4"/>
              <w:outlineLvl w:val="3"/>
              <w:rPr>
                <w:sz w:val="20"/>
                <w:szCs w:val="20"/>
                <w:lang w:val="nl-NL"/>
              </w:rPr>
            </w:pPr>
          </w:p>
        </w:tc>
      </w:tr>
    </w:tbl>
    <w:p w14:paraId="49F99C96" w14:textId="39AD06A5" w:rsidR="002959B9" w:rsidRPr="00B84CEE" w:rsidRDefault="002959B9" w:rsidP="002959B9">
      <w:pPr>
        <w:pStyle w:val="Kop4"/>
        <w:rPr>
          <w:lang w:val="nl-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2"/>
      </w:tblGrid>
      <w:tr w:rsidR="002959B9" w:rsidRPr="00B84CEE" w14:paraId="1BABC5D6" w14:textId="77777777" w:rsidTr="00081326">
        <w:trPr>
          <w:trHeight w:val="488"/>
        </w:trPr>
        <w:tc>
          <w:tcPr>
            <w:tcW w:w="12922" w:type="dxa"/>
          </w:tcPr>
          <w:p w14:paraId="0C866A61" w14:textId="77777777" w:rsidR="002959B9" w:rsidRPr="00B84CEE" w:rsidRDefault="002959B9" w:rsidP="002959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Naam student:                                                                                                                                             Opleiding: </w:t>
            </w:r>
          </w:p>
        </w:tc>
      </w:tr>
      <w:tr w:rsidR="002959B9" w:rsidRPr="00B84CEE" w14:paraId="21568F28" w14:textId="77777777" w:rsidTr="00081326">
        <w:trPr>
          <w:trHeight w:val="488"/>
        </w:trPr>
        <w:tc>
          <w:tcPr>
            <w:tcW w:w="12922" w:type="dxa"/>
            <w:tcBorders>
              <w:bottom w:val="single" w:sz="4" w:space="0" w:color="auto"/>
            </w:tcBorders>
          </w:tcPr>
          <w:p w14:paraId="0BADB071" w14:textId="77777777" w:rsidR="002959B9" w:rsidRPr="00B84CEE" w:rsidRDefault="002959B9" w:rsidP="002959B9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Datum:</w:t>
            </w:r>
          </w:p>
        </w:tc>
      </w:tr>
    </w:tbl>
    <w:p w14:paraId="660E0BD9" w14:textId="570BF593" w:rsidR="002959B9" w:rsidRPr="00B84CEE" w:rsidRDefault="002959B9" w:rsidP="002959B9">
      <w:pPr>
        <w:pStyle w:val="Kop3"/>
        <w:spacing w:before="360" w:line="276" w:lineRule="auto"/>
        <w:rPr>
          <w:lang w:val="nl-NL"/>
        </w:rPr>
      </w:pPr>
      <w:r w:rsidRPr="00B84CEE">
        <w:rPr>
          <w:lang w:val="nl-NL"/>
        </w:rPr>
        <w:t>Oordeel per bekwaamheidsgebied &amp; cijferbepaling</w:t>
      </w:r>
      <w:r w:rsidR="003754F4" w:rsidRPr="00B84CEE">
        <w:rPr>
          <w:lang w:val="nl-NL"/>
        </w:rPr>
        <w:t xml:space="preserve"> </w:t>
      </w:r>
      <w:r w:rsidRPr="00B84CEE">
        <w:rPr>
          <w:lang w:val="nl-NL"/>
        </w:rPr>
        <w:t xml:space="preserve">  </w:t>
      </w:r>
    </w:p>
    <w:p w14:paraId="43E962EB" w14:textId="0A56FE57" w:rsidR="002959B9" w:rsidRPr="00B84CEE" w:rsidRDefault="007122E5" w:rsidP="002959B9">
      <w:pPr>
        <w:spacing w:line="276" w:lineRule="auto"/>
        <w:rPr>
          <w:rFonts w:asciiTheme="majorHAnsi" w:hAnsiTheme="majorHAnsi" w:cstheme="majorHAnsi"/>
          <w:sz w:val="20"/>
          <w:szCs w:val="20"/>
          <w:lang w:val="nl-NL"/>
        </w:rPr>
      </w:pPr>
      <w:r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Op de volgende pagina’s </w:t>
      </w:r>
      <w:r w:rsidR="002959B9"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staat per bekwaamheidsgebied beschreven wat </w:t>
      </w:r>
      <w:r w:rsidR="00820EC6" w:rsidRPr="00B84CEE">
        <w:rPr>
          <w:rFonts w:asciiTheme="majorHAnsi" w:hAnsiTheme="majorHAnsi" w:cstheme="majorHAnsi"/>
          <w:sz w:val="20"/>
          <w:szCs w:val="20"/>
          <w:lang w:val="nl-NL"/>
        </w:rPr>
        <w:t>de student moet aantonen in de integrale eindtoets niveau 2.</w:t>
      </w:r>
      <w:r w:rsidR="002959B9"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34646" w:rsidRPr="00B84CEE">
        <w:rPr>
          <w:rFonts w:asciiTheme="majorHAnsi" w:hAnsiTheme="majorHAnsi" w:cstheme="majorHAnsi"/>
          <w:sz w:val="20"/>
          <w:szCs w:val="20"/>
          <w:lang w:val="nl-NL"/>
        </w:rPr>
        <w:t>Deze b</w:t>
      </w:r>
      <w:r w:rsidR="00897D68" w:rsidRPr="00B84CEE">
        <w:rPr>
          <w:rFonts w:asciiTheme="majorHAnsi" w:hAnsiTheme="majorHAnsi" w:cstheme="majorHAnsi"/>
          <w:sz w:val="20"/>
          <w:szCs w:val="20"/>
          <w:lang w:val="nl-NL"/>
        </w:rPr>
        <w:t>eoo</w:t>
      </w:r>
      <w:r w:rsidR="00734646"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rdeling borduurt voort op de praktijkbeoordeling </w:t>
      </w:r>
      <w:r w:rsidR="00897D68"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(werkplekleren 2 – leerjaar 3) </w:t>
      </w:r>
      <w:r w:rsidR="00734646" w:rsidRPr="00B84CEE">
        <w:rPr>
          <w:rFonts w:asciiTheme="majorHAnsi" w:hAnsiTheme="majorHAnsi" w:cstheme="majorHAnsi"/>
          <w:sz w:val="20"/>
          <w:szCs w:val="20"/>
          <w:lang w:val="nl-NL"/>
        </w:rPr>
        <w:t>die gegeven is</w:t>
      </w:r>
      <w:r w:rsidR="00897D68" w:rsidRPr="00B84CEE">
        <w:rPr>
          <w:rFonts w:asciiTheme="majorHAnsi" w:hAnsiTheme="majorHAnsi" w:cstheme="majorHAnsi"/>
          <w:sz w:val="20"/>
          <w:szCs w:val="20"/>
          <w:lang w:val="nl-NL"/>
        </w:rPr>
        <w:t>.</w:t>
      </w:r>
      <w:r w:rsidR="00734646"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820EC6" w:rsidRPr="00B84CEE">
        <w:rPr>
          <w:rFonts w:asciiTheme="majorHAnsi" w:hAnsiTheme="majorHAnsi" w:cstheme="majorHAnsi"/>
          <w:sz w:val="20"/>
          <w:szCs w:val="20"/>
          <w:lang w:val="nl-NL"/>
        </w:rPr>
        <w:t>Voor elk</w:t>
      </w:r>
      <w:r w:rsidR="002959B9"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 bekwaamheidsgebied moet de student voldoen aan het beschreven niveau. Per bekwaamheidsgebied wordt feedback </w:t>
      </w:r>
      <w:r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en feedforward </w:t>
      </w:r>
      <w:r w:rsidR="002959B9"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gegeven en aangegeven of de student het minimale niveau behaald heeft. Voor de </w:t>
      </w:r>
      <w:r w:rsidR="004C5F03" w:rsidRPr="00B84CEE">
        <w:rPr>
          <w:rFonts w:asciiTheme="majorHAnsi" w:hAnsiTheme="majorHAnsi" w:cstheme="majorHAnsi"/>
          <w:sz w:val="20"/>
          <w:szCs w:val="20"/>
          <w:lang w:val="nl-NL"/>
        </w:rPr>
        <w:t>eindbeoordeling van de integrale eindtoets</w:t>
      </w:r>
      <w:r w:rsidR="002959B9" w:rsidRPr="00B84CEE">
        <w:rPr>
          <w:rFonts w:asciiTheme="majorHAnsi" w:hAnsiTheme="majorHAnsi" w:cstheme="majorHAnsi"/>
          <w:sz w:val="20"/>
          <w:szCs w:val="20"/>
          <w:lang w:val="nl-NL"/>
        </w:rPr>
        <w:t xml:space="preserve"> wordt vervolgens onderstaande schaal aangehouden:</w:t>
      </w:r>
    </w:p>
    <w:tbl>
      <w:tblPr>
        <w:tblStyle w:val="Tabelraster"/>
        <w:tblW w:w="13045" w:type="dxa"/>
        <w:tblLook w:val="04A0" w:firstRow="1" w:lastRow="0" w:firstColumn="1" w:lastColumn="0" w:noHBand="0" w:noVBand="1"/>
      </w:tblPr>
      <w:tblGrid>
        <w:gridCol w:w="1555"/>
        <w:gridCol w:w="11490"/>
      </w:tblGrid>
      <w:tr w:rsidR="00233890" w:rsidRPr="00B84CEE" w14:paraId="347A0A8D" w14:textId="77777777" w:rsidTr="006F7B4C">
        <w:tc>
          <w:tcPr>
            <w:tcW w:w="1555" w:type="dxa"/>
          </w:tcPr>
          <w:p w14:paraId="0BD01DAA" w14:textId="77777777" w:rsidR="00233890" w:rsidRPr="00B84CEE" w:rsidRDefault="00233890" w:rsidP="0023389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 xml:space="preserve">Cijfer </w:t>
            </w:r>
          </w:p>
        </w:tc>
        <w:tc>
          <w:tcPr>
            <w:tcW w:w="11490" w:type="dxa"/>
          </w:tcPr>
          <w:p w14:paraId="4A0ECA77" w14:textId="77777777" w:rsidR="00233890" w:rsidRPr="00B84CEE" w:rsidRDefault="00233890" w:rsidP="0023389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 xml:space="preserve">Duiding </w:t>
            </w:r>
          </w:p>
        </w:tc>
      </w:tr>
      <w:tr w:rsidR="00233890" w:rsidRPr="00DA39F2" w14:paraId="04CC5F51" w14:textId="77777777" w:rsidTr="006F7B4C">
        <w:tc>
          <w:tcPr>
            <w:tcW w:w="1555" w:type="dxa"/>
          </w:tcPr>
          <w:p w14:paraId="48F39C76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10</w:t>
            </w:r>
          </w:p>
        </w:tc>
        <w:tc>
          <w:tcPr>
            <w:tcW w:w="11490" w:type="dxa"/>
          </w:tcPr>
          <w:p w14:paraId="44C64185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Excellent handelen aangetoond op alle bekwaamheidsgebieden, niet te overtreffen.</w:t>
            </w:r>
          </w:p>
        </w:tc>
      </w:tr>
      <w:tr w:rsidR="00233890" w:rsidRPr="00DA39F2" w14:paraId="5BEA0590" w14:textId="77777777" w:rsidTr="006F7B4C">
        <w:tc>
          <w:tcPr>
            <w:tcW w:w="1555" w:type="dxa"/>
          </w:tcPr>
          <w:p w14:paraId="2F714B4B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9</w:t>
            </w:r>
          </w:p>
        </w:tc>
        <w:tc>
          <w:tcPr>
            <w:tcW w:w="11490" w:type="dxa"/>
          </w:tcPr>
          <w:p w14:paraId="28623DCF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Boven het niveau op alle bekwaamheidsgebieden aangetoond, veel toevoegingen, veel eigen initiatief of eigen inbreng, grote uitschieters naar boven, uitzonderlijke dingen gedaan.</w:t>
            </w:r>
          </w:p>
        </w:tc>
      </w:tr>
      <w:tr w:rsidR="00233890" w:rsidRPr="00DA39F2" w14:paraId="236EDD1B" w14:textId="77777777" w:rsidTr="006F7B4C">
        <w:tc>
          <w:tcPr>
            <w:tcW w:w="1555" w:type="dxa"/>
          </w:tcPr>
          <w:p w14:paraId="3BE45D93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11490" w:type="dxa"/>
          </w:tcPr>
          <w:p w14:paraId="42E69855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Boven het niveau van één of meerdere bekwaamheidsgebieden aangetoond, enkele speciale toevoegingen, enkele uitschieters naar boven, iets extra’s geleverd.</w:t>
            </w:r>
          </w:p>
        </w:tc>
      </w:tr>
      <w:tr w:rsidR="00233890" w:rsidRPr="00DA39F2" w14:paraId="13BB2C34" w14:textId="77777777" w:rsidTr="006F7B4C">
        <w:tc>
          <w:tcPr>
            <w:tcW w:w="1555" w:type="dxa"/>
          </w:tcPr>
          <w:p w14:paraId="6F2521AF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7</w:t>
            </w:r>
          </w:p>
        </w:tc>
        <w:tc>
          <w:tcPr>
            <w:tcW w:w="11490" w:type="dxa"/>
          </w:tcPr>
          <w:p w14:paraId="7E8A1E59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Op het niveau van de bekwaamheidsgebieden aangetoond, geen speciale toevoegingen, geen uitschieters naar boven of beneden. </w:t>
            </w:r>
          </w:p>
        </w:tc>
      </w:tr>
      <w:tr w:rsidR="00233890" w:rsidRPr="00DA39F2" w14:paraId="70558FF6" w14:textId="77777777" w:rsidTr="006F7B4C">
        <w:tc>
          <w:tcPr>
            <w:tcW w:w="1555" w:type="dxa"/>
          </w:tcPr>
          <w:p w14:paraId="0E9B81B6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6</w:t>
            </w:r>
          </w:p>
        </w:tc>
        <w:tc>
          <w:tcPr>
            <w:tcW w:w="11490" w:type="dxa"/>
          </w:tcPr>
          <w:p w14:paraId="7ECBED25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Het gevraagde niveau van alle bekwaamheidsgebieden aangetoond, geen speciale toevoegingen, geen uitschieters naar boven of beneden, net aan de maat. </w:t>
            </w:r>
          </w:p>
        </w:tc>
      </w:tr>
      <w:tr w:rsidR="00233890" w:rsidRPr="00DA39F2" w14:paraId="407C2C9F" w14:textId="77777777" w:rsidTr="006F7B4C">
        <w:tc>
          <w:tcPr>
            <w:tcW w:w="1555" w:type="dxa"/>
          </w:tcPr>
          <w:p w14:paraId="1D80C362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5</w:t>
            </w:r>
          </w:p>
        </w:tc>
        <w:tc>
          <w:tcPr>
            <w:tcW w:w="11490" w:type="dxa"/>
          </w:tcPr>
          <w:p w14:paraId="6FD4598B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Eén van de bekwaamheidsgebieden is onvoldoende aangetoond. </w:t>
            </w:r>
          </w:p>
        </w:tc>
      </w:tr>
      <w:tr w:rsidR="00233890" w:rsidRPr="00DA39F2" w14:paraId="38E3EFF0" w14:textId="77777777" w:rsidTr="006F7B4C">
        <w:tc>
          <w:tcPr>
            <w:tcW w:w="1555" w:type="dxa"/>
          </w:tcPr>
          <w:p w14:paraId="76C8A4CD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4</w:t>
            </w:r>
          </w:p>
        </w:tc>
        <w:tc>
          <w:tcPr>
            <w:tcW w:w="11490" w:type="dxa"/>
          </w:tcPr>
          <w:p w14:paraId="0A6752E6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Meerdere bekwaamheidsgebieden zijn onvoldoende aangetoond. </w:t>
            </w:r>
          </w:p>
        </w:tc>
      </w:tr>
      <w:tr w:rsidR="00233890" w:rsidRPr="00DA39F2" w14:paraId="7F61F6F7" w14:textId="77777777" w:rsidTr="006F7B4C">
        <w:tc>
          <w:tcPr>
            <w:tcW w:w="1555" w:type="dxa"/>
          </w:tcPr>
          <w:p w14:paraId="1B788E60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11490" w:type="dxa"/>
          </w:tcPr>
          <w:p w14:paraId="7AFAB796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Meerdere bekwaamheidsgebieden zijn onvoldoende aangetoond, alleen maar uitschieters naar beneden, de kern geheel niet geraakt, ver onder de maat.</w:t>
            </w:r>
          </w:p>
        </w:tc>
      </w:tr>
      <w:tr w:rsidR="00233890" w:rsidRPr="00DA39F2" w14:paraId="6CD44B78" w14:textId="77777777" w:rsidTr="006F7B4C">
        <w:tc>
          <w:tcPr>
            <w:tcW w:w="1555" w:type="dxa"/>
          </w:tcPr>
          <w:p w14:paraId="6C4C5D23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2</w:t>
            </w:r>
          </w:p>
        </w:tc>
        <w:tc>
          <w:tcPr>
            <w:tcW w:w="11490" w:type="dxa"/>
          </w:tcPr>
          <w:p w14:paraId="489DE7D9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Vrijwel alles is onvoldoende aangetoond.</w:t>
            </w:r>
          </w:p>
        </w:tc>
      </w:tr>
      <w:tr w:rsidR="00233890" w:rsidRPr="00B84CEE" w14:paraId="67D25091" w14:textId="77777777" w:rsidTr="006F7B4C">
        <w:tc>
          <w:tcPr>
            <w:tcW w:w="1555" w:type="dxa"/>
          </w:tcPr>
          <w:p w14:paraId="27601A0E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</w:t>
            </w:r>
          </w:p>
        </w:tc>
        <w:tc>
          <w:tcPr>
            <w:tcW w:w="11490" w:type="dxa"/>
          </w:tcPr>
          <w:p w14:paraId="2CD44E73" w14:textId="77777777" w:rsidR="00233890" w:rsidRPr="00B84CEE" w:rsidRDefault="00233890" w:rsidP="00233890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Niets aangetoond, geen ontwikkeling.</w:t>
            </w:r>
          </w:p>
        </w:tc>
      </w:tr>
    </w:tbl>
    <w:p w14:paraId="64ACD117" w14:textId="042B49A3" w:rsidR="005431D7" w:rsidRPr="00B84CEE" w:rsidRDefault="005431D7" w:rsidP="005431D7">
      <w:pPr>
        <w:spacing w:line="276" w:lineRule="auto"/>
        <w:rPr>
          <w:sz w:val="20"/>
          <w:lang w:val="nl-NL"/>
        </w:rPr>
      </w:pPr>
    </w:p>
    <w:tbl>
      <w:tblPr>
        <w:tblW w:w="136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8269"/>
        <w:gridCol w:w="3118"/>
      </w:tblGrid>
      <w:tr w:rsidR="00734646" w:rsidRPr="00DA39F2" w14:paraId="0D59404F" w14:textId="77777777" w:rsidTr="00734646">
        <w:trPr>
          <w:tblHeader/>
        </w:trPr>
        <w:tc>
          <w:tcPr>
            <w:tcW w:w="222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4781" w14:textId="0BB4AFE2" w:rsidR="00734646" w:rsidRPr="00B84CEE" w:rsidRDefault="00734646" w:rsidP="00A06A7F">
            <w:pPr>
              <w:spacing w:line="276" w:lineRule="auto"/>
              <w:rPr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603F" w14:textId="42ED8DA1" w:rsidR="00734646" w:rsidRPr="00B84CEE" w:rsidRDefault="00734646" w:rsidP="00A06A7F">
            <w:pPr>
              <w:pStyle w:val="Geenafstand"/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B84CEE">
              <w:rPr>
                <w:b/>
                <w:sz w:val="20"/>
                <w:szCs w:val="20"/>
                <w:lang w:val="nl-NL"/>
              </w:rPr>
              <w:t xml:space="preserve">Integrale eindtoets </w:t>
            </w:r>
            <w:r w:rsidRPr="00B84CEE">
              <w:rPr>
                <w:b/>
                <w:bCs/>
                <w:sz w:val="20"/>
                <w:szCs w:val="20"/>
                <w:lang w:val="nl-NL"/>
              </w:rPr>
              <w:t>/ portfoliobeoordeling integraal handelen 2</w:t>
            </w:r>
            <w:r w:rsidRPr="00B84CEE">
              <w:rPr>
                <w:sz w:val="20"/>
                <w:szCs w:val="20"/>
                <w:lang w:val="nl-NL"/>
              </w:rPr>
              <w:t xml:space="preserve"> </w:t>
            </w:r>
          </w:p>
        </w:tc>
      </w:tr>
      <w:tr w:rsidR="00734646" w:rsidRPr="00B84CEE" w14:paraId="02CFA107" w14:textId="77777777" w:rsidTr="00734646">
        <w:trPr>
          <w:trHeight w:val="601"/>
        </w:trPr>
        <w:tc>
          <w:tcPr>
            <w:tcW w:w="2226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CE13" w14:textId="77777777" w:rsidR="00734646" w:rsidRPr="00B84CEE" w:rsidRDefault="00734646" w:rsidP="00A06A7F">
            <w:pPr>
              <w:spacing w:line="276" w:lineRule="auto"/>
              <w:rPr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0585" w14:textId="3D53B148" w:rsidR="00734646" w:rsidRPr="00B84CEE" w:rsidRDefault="00734646" w:rsidP="00A06A7F">
            <w:pPr>
              <w:tabs>
                <w:tab w:val="left" w:pos="919"/>
              </w:tabs>
              <w:spacing w:line="276" w:lineRule="auto"/>
              <w:rPr>
                <w:b/>
                <w:bCs/>
                <w:sz w:val="18"/>
                <w:szCs w:val="18"/>
                <w:lang w:val="nl-NL"/>
              </w:rPr>
            </w:pPr>
            <w:r w:rsidRPr="00B84CEE">
              <w:rPr>
                <w:b/>
                <w:bCs/>
                <w:sz w:val="18"/>
                <w:szCs w:val="18"/>
                <w:lang w:val="nl-NL"/>
              </w:rPr>
              <w:t>Examinator</w:t>
            </w:r>
            <w:r w:rsidR="004D3A31" w:rsidRPr="00B84CEE">
              <w:rPr>
                <w:b/>
                <w:bCs/>
                <w:sz w:val="18"/>
                <w:szCs w:val="18"/>
                <w:lang w:val="nl-NL"/>
              </w:rPr>
              <w:t>(</w:t>
            </w:r>
            <w:r w:rsidRPr="00B84CEE">
              <w:rPr>
                <w:b/>
                <w:bCs/>
                <w:sz w:val="18"/>
                <w:szCs w:val="18"/>
                <w:lang w:val="nl-NL"/>
              </w:rPr>
              <w:t>en</w:t>
            </w:r>
            <w:r w:rsidR="004D3A31" w:rsidRPr="00B84CEE">
              <w:rPr>
                <w:b/>
                <w:bCs/>
                <w:sz w:val="18"/>
                <w:szCs w:val="18"/>
                <w:lang w:val="nl-NL"/>
              </w:rPr>
              <w:t>)</w:t>
            </w:r>
            <w:r w:rsidRPr="00B84CEE">
              <w:rPr>
                <w:b/>
                <w:bCs/>
                <w:sz w:val="18"/>
                <w:szCs w:val="18"/>
                <w:lang w:val="nl-NL"/>
              </w:rPr>
              <w:t xml:space="preserve">: </w:t>
            </w:r>
          </w:p>
        </w:tc>
      </w:tr>
      <w:tr w:rsidR="00734646" w:rsidRPr="00B84CEE" w14:paraId="26DD1E45" w14:textId="77777777" w:rsidTr="00734646">
        <w:trPr>
          <w:trHeight w:val="601"/>
        </w:trPr>
        <w:tc>
          <w:tcPr>
            <w:tcW w:w="2226" w:type="dxa"/>
            <w:vMerge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379F" w14:textId="77777777" w:rsidR="00734646" w:rsidRPr="00B84CEE" w:rsidRDefault="00734646" w:rsidP="00A06A7F">
            <w:pPr>
              <w:spacing w:line="276" w:lineRule="auto"/>
              <w:rPr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75C1" w14:textId="77777777" w:rsidR="00734646" w:rsidRPr="00B84CEE" w:rsidRDefault="00734646" w:rsidP="00A06A7F">
            <w:pPr>
              <w:spacing w:line="276" w:lineRule="auto"/>
              <w:rPr>
                <w:bCs/>
                <w:sz w:val="18"/>
                <w:szCs w:val="18"/>
                <w:lang w:val="nl-NL"/>
              </w:rPr>
            </w:pPr>
            <w:r w:rsidRPr="00B84CEE">
              <w:rPr>
                <w:b/>
                <w:bCs/>
                <w:sz w:val="18"/>
                <w:szCs w:val="18"/>
                <w:lang w:val="nl-NL"/>
              </w:rPr>
              <w:t xml:space="preserve">Datum: </w:t>
            </w:r>
          </w:p>
        </w:tc>
      </w:tr>
      <w:tr w:rsidR="00734646" w:rsidRPr="00B84CEE" w14:paraId="7CD5A233" w14:textId="77777777" w:rsidTr="004D3A31">
        <w:trPr>
          <w:trHeight w:val="601"/>
        </w:trPr>
        <w:tc>
          <w:tcPr>
            <w:tcW w:w="2226" w:type="dxa"/>
            <w:vMerge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F68A" w14:textId="77777777" w:rsidR="00734646" w:rsidRPr="00B84CEE" w:rsidRDefault="00734646" w:rsidP="00A06A7F">
            <w:pPr>
              <w:spacing w:line="276" w:lineRule="auto"/>
              <w:rPr>
                <w:sz w:val="18"/>
                <w:szCs w:val="18"/>
                <w:lang w:val="nl-NL"/>
              </w:rPr>
            </w:pPr>
          </w:p>
        </w:tc>
        <w:tc>
          <w:tcPr>
            <w:tcW w:w="826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968A" w14:textId="4EC4FE2F" w:rsidR="00734646" w:rsidRPr="00B84CEE" w:rsidRDefault="00734646" w:rsidP="00A06A7F">
            <w:pPr>
              <w:spacing w:line="276" w:lineRule="auto"/>
              <w:rPr>
                <w:bCs/>
                <w:sz w:val="18"/>
                <w:szCs w:val="18"/>
                <w:lang w:val="nl-NL"/>
              </w:rPr>
            </w:pPr>
            <w:r w:rsidRPr="00B84CEE">
              <w:rPr>
                <w:b/>
                <w:bCs/>
                <w:sz w:val="18"/>
                <w:szCs w:val="18"/>
                <w:lang w:val="nl-NL"/>
              </w:rPr>
              <w:t xml:space="preserve">Ontvankelijkheidseis: </w:t>
            </w:r>
            <w:r w:rsidRPr="00B84CEE">
              <w:rPr>
                <w:bCs/>
                <w:sz w:val="18"/>
                <w:szCs w:val="18"/>
                <w:lang w:val="nl-NL"/>
              </w:rPr>
              <w:t>Praktijkbeoordeling ‘</w:t>
            </w:r>
            <w:r w:rsidRPr="00B84CEE">
              <w:rPr>
                <w:sz w:val="18"/>
                <w:szCs w:val="18"/>
                <w:lang w:val="nl-NL"/>
              </w:rPr>
              <w:t xml:space="preserve">integraal handelen in de beroepspraktijk 2’ (werkplekleren 2 – leerjaar 3) </w:t>
            </w:r>
            <w:r w:rsidRPr="00B84CEE">
              <w:rPr>
                <w:bCs/>
                <w:sz w:val="18"/>
                <w:szCs w:val="18"/>
                <w:lang w:val="nl-NL"/>
              </w:rPr>
              <w:t>is met een voldoende afgesloten</w:t>
            </w:r>
            <w:r w:rsidR="00233890" w:rsidRPr="00B84CEE">
              <w:rPr>
                <w:bCs/>
                <w:sz w:val="18"/>
                <w:szCs w:val="18"/>
                <w:lang w:val="nl-NL"/>
              </w:rPr>
              <w:t>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541EAB2" w14:textId="77777777" w:rsidR="00734646" w:rsidRPr="00B84CEE" w:rsidRDefault="00734646" w:rsidP="00A06A7F">
            <w:pPr>
              <w:spacing w:line="276" w:lineRule="auto"/>
              <w:rPr>
                <w:bCs/>
                <w:sz w:val="18"/>
                <w:szCs w:val="18"/>
                <w:lang w:val="nl-NL"/>
              </w:rPr>
            </w:pPr>
            <w:r w:rsidRPr="00B84CEE">
              <w:rPr>
                <w:bCs/>
                <w:sz w:val="18"/>
                <w:szCs w:val="18"/>
                <w:lang w:val="nl-NL"/>
              </w:rPr>
              <w:t xml:space="preserve">  Cijfer:</w:t>
            </w:r>
          </w:p>
        </w:tc>
      </w:tr>
      <w:tr w:rsidR="00734646" w:rsidRPr="00DA39F2" w14:paraId="339440E1" w14:textId="77777777" w:rsidTr="00734646">
        <w:trPr>
          <w:trHeight w:val="601"/>
        </w:trPr>
        <w:tc>
          <w:tcPr>
            <w:tcW w:w="222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8254" w14:textId="77777777" w:rsidR="00734646" w:rsidRPr="00B84CEE" w:rsidRDefault="00734646" w:rsidP="00A06A7F">
            <w:pPr>
              <w:spacing w:line="276" w:lineRule="auto"/>
              <w:rPr>
                <w:sz w:val="18"/>
                <w:szCs w:val="18"/>
                <w:lang w:val="nl-NL"/>
              </w:rPr>
            </w:pPr>
            <w:r w:rsidRPr="00B84CEE">
              <w:rPr>
                <w:b/>
                <w:bCs/>
                <w:sz w:val="18"/>
                <w:szCs w:val="18"/>
                <w:lang w:val="nl-NL"/>
              </w:rPr>
              <w:t>Bekwaamheidsgebied</w:t>
            </w:r>
          </w:p>
        </w:tc>
        <w:tc>
          <w:tcPr>
            <w:tcW w:w="11387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D751" w14:textId="77777777" w:rsidR="00734646" w:rsidRPr="00B84CEE" w:rsidRDefault="00734646" w:rsidP="00A06A7F">
            <w:pPr>
              <w:spacing w:line="276" w:lineRule="auto"/>
              <w:rPr>
                <w:bCs/>
                <w:sz w:val="18"/>
                <w:szCs w:val="18"/>
                <w:lang w:val="nl-NL"/>
              </w:rPr>
            </w:pPr>
            <w:r w:rsidRPr="00B84CEE">
              <w:rPr>
                <w:bCs/>
                <w:sz w:val="18"/>
                <w:szCs w:val="18"/>
                <w:lang w:val="nl-NL"/>
              </w:rPr>
              <w:t xml:space="preserve">De student laat in de integrale eindtoets het volgende zien: </w:t>
            </w:r>
          </w:p>
        </w:tc>
      </w:tr>
      <w:tr w:rsidR="00734646" w:rsidRPr="00DA39F2" w14:paraId="7C03B32C" w14:textId="77777777" w:rsidTr="00734646">
        <w:tc>
          <w:tcPr>
            <w:tcW w:w="222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B45B" w14:textId="3B2145CD" w:rsidR="00734646" w:rsidRPr="00B84CEE" w:rsidRDefault="00734646" w:rsidP="00A06A7F">
            <w:pPr>
              <w:spacing w:line="276" w:lineRule="auto"/>
              <w:rPr>
                <w:b/>
                <w:sz w:val="18"/>
                <w:szCs w:val="18"/>
                <w:lang w:val="nl-NL"/>
              </w:rPr>
            </w:pPr>
            <w:r w:rsidRPr="00B84CEE">
              <w:rPr>
                <w:b/>
                <w:sz w:val="18"/>
                <w:szCs w:val="18"/>
                <w:lang w:val="nl-NL"/>
              </w:rPr>
              <w:t xml:space="preserve">Brede professionele basis </w:t>
            </w:r>
          </w:p>
          <w:p w14:paraId="12D8DEE1" w14:textId="366B1323" w:rsidR="00734646" w:rsidRPr="00B84CEE" w:rsidRDefault="00734646" w:rsidP="00A06A7F">
            <w:pPr>
              <w:spacing w:line="276" w:lineRule="auto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CD1" w14:textId="191119DF" w:rsidR="00B84CEE" w:rsidRPr="00B84CEE" w:rsidRDefault="005E2E03" w:rsidP="00B84CEE">
            <w:pPr>
              <w:spacing w:after="0"/>
              <w:rPr>
                <w:rFonts w:asciiTheme="majorHAnsi" w:hAnsiTheme="majorHAnsi" w:cstheme="majorHAnsi"/>
                <w:sz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De student kan op effectieve wijze zoeken naar relevante bronnen, deze beoordelen op bruikbaarheid en verkregen bronnen onderling vergelijken en gebruiken. </w:t>
            </w:r>
            <w:r w:rsidR="00233890" w:rsidRPr="00B84CEE">
              <w:rPr>
                <w:rFonts w:asciiTheme="majorHAnsi" w:hAnsiTheme="majorHAnsi" w:cstheme="majorHAnsi"/>
                <w:sz w:val="18"/>
                <w:lang w:val="nl-NL"/>
              </w:rPr>
              <w:t>De student</w:t>
            </w: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 heeft aantoonbare kennis over de laatste ontwikkelingen in het onderwijs (waaronder verschillende onderwijsconcepten en </w:t>
            </w:r>
          </w:p>
          <w:p w14:paraId="45377802" w14:textId="695F7944" w:rsidR="00734646" w:rsidRPr="00B84CEE" w:rsidRDefault="00B84CEE" w:rsidP="00B84CEE">
            <w:pPr>
              <w:spacing w:after="0"/>
              <w:rPr>
                <w:rFonts w:asciiTheme="majorHAnsi" w:hAnsiTheme="majorHAnsi" w:cstheme="majorHAnsi"/>
                <w:sz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>-</w:t>
            </w:r>
            <w:r w:rsidR="005E2E03"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contexten) en kan op basis van de opgedane kennis en eigen visie zijn handelen in de beroepspraktijk verantwoorden. De student staat open voor perspectieven van anderen, is nieuwsgierig wat </w:t>
            </w: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>de leeropbrengst is</w:t>
            </w:r>
            <w:r w:rsidR="005E2E03"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 en neemt in dit proces een actieve rol in. De student legt de relatie tussen de drie bekwaamheidsgebieden op niveau 2. </w:t>
            </w:r>
          </w:p>
        </w:tc>
      </w:tr>
      <w:tr w:rsidR="00734646" w:rsidRPr="00DA39F2" w14:paraId="4AA61524" w14:textId="77777777" w:rsidTr="00734646">
        <w:trPr>
          <w:trHeight w:val="569"/>
        </w:trPr>
        <w:tc>
          <w:tcPr>
            <w:tcW w:w="22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72A2" w14:textId="7B82DF4A" w:rsidR="00734646" w:rsidRPr="00B84CEE" w:rsidRDefault="00734646" w:rsidP="00A06A7F">
            <w:pPr>
              <w:spacing w:line="276" w:lineRule="auto"/>
              <w:jc w:val="right"/>
              <w:rPr>
                <w:b/>
                <w:sz w:val="18"/>
                <w:szCs w:val="18"/>
                <w:lang w:val="nl-NL"/>
              </w:rPr>
            </w:pPr>
            <w:r w:rsidRPr="00B84CEE">
              <w:rPr>
                <w:b/>
                <w:sz w:val="18"/>
                <w:szCs w:val="18"/>
                <w:lang w:val="nl-NL"/>
              </w:rPr>
              <w:t>Oordeel brede professionele basis</w:t>
            </w:r>
          </w:p>
          <w:p w14:paraId="34FDA602" w14:textId="584F4627" w:rsidR="00734646" w:rsidRPr="00B84CEE" w:rsidRDefault="00734646" w:rsidP="00A06A7F">
            <w:pPr>
              <w:spacing w:line="276" w:lineRule="auto"/>
              <w:jc w:val="right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5B4D" w14:textId="3BBC3600" w:rsidR="00734646" w:rsidRPr="00B84CEE" w:rsidRDefault="00734646" w:rsidP="00E44EC6">
            <w:pPr>
              <w:suppressAutoHyphens/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Dit bekwaamheidsgebied is </w:t>
            </w:r>
            <w:r w:rsidR="00233890" w:rsidRPr="00B84CEE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lang w:val="nl-NL"/>
              </w:rPr>
              <w:t xml:space="preserve">excellent, boven niveau, op niveau </w:t>
            </w:r>
            <w:r w:rsidR="00233890"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of </w:t>
            </w:r>
            <w:r w:rsidR="00233890" w:rsidRPr="00B84CEE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lang w:val="nl-NL"/>
              </w:rPr>
              <w:t>onvoldoende</w:t>
            </w: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 aangetoond </w:t>
            </w:r>
            <w:r w:rsidRPr="00B84CE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  <w:t>(</w:t>
            </w:r>
            <w:r w:rsidR="00233890" w:rsidRPr="00B84CE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  <w:t>arceren wat van toepassing</w:t>
            </w:r>
            <w:r w:rsidRPr="00B84CE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  <w:t xml:space="preserve"> is).</w:t>
            </w:r>
          </w:p>
          <w:p w14:paraId="68005B95" w14:textId="77777777" w:rsidR="00734646" w:rsidRPr="00B84CEE" w:rsidRDefault="00734646" w:rsidP="00E44EC6">
            <w:pPr>
              <w:suppressAutoHyphens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Toelichting op het oordeel: beschrijf of en in hoeverre de student voldoet aan het beschreven niveau, geef feedback en feedforward: </w:t>
            </w:r>
          </w:p>
          <w:p w14:paraId="63CD2E66" w14:textId="77777777" w:rsidR="00734646" w:rsidRPr="00B84CEE" w:rsidRDefault="00734646" w:rsidP="00A06A7F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4F14863A" w14:textId="77777777" w:rsidR="00985C96" w:rsidRPr="00B84CEE" w:rsidRDefault="00985C96" w:rsidP="00A06A7F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5E13E299" w14:textId="77777777" w:rsidR="00985C96" w:rsidRPr="00B84CEE" w:rsidRDefault="00985C96" w:rsidP="00A06A7F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01A8FAB1" w14:textId="616E432C" w:rsidR="00985C96" w:rsidRPr="00B84CEE" w:rsidRDefault="00985C96" w:rsidP="00A06A7F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</w:tc>
      </w:tr>
      <w:tr w:rsidR="00734646" w:rsidRPr="00DA39F2" w14:paraId="74DA53C0" w14:textId="77777777" w:rsidTr="00734646">
        <w:tc>
          <w:tcPr>
            <w:tcW w:w="222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F2CC" w14:textId="77777777" w:rsidR="00734646" w:rsidRPr="00B84CEE" w:rsidRDefault="00734646" w:rsidP="00D86C90">
            <w:pPr>
              <w:spacing w:line="276" w:lineRule="auto"/>
              <w:rPr>
                <w:b/>
                <w:sz w:val="18"/>
                <w:szCs w:val="18"/>
                <w:lang w:val="nl-NL"/>
              </w:rPr>
            </w:pPr>
            <w:r w:rsidRPr="00B84CEE">
              <w:rPr>
                <w:b/>
                <w:sz w:val="18"/>
                <w:szCs w:val="18"/>
                <w:lang w:val="nl-NL"/>
              </w:rPr>
              <w:t xml:space="preserve">Pedagogisch bekwaam </w:t>
            </w:r>
          </w:p>
        </w:tc>
        <w:tc>
          <w:tcPr>
            <w:tcW w:w="11387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DC24" w14:textId="45431519" w:rsidR="00734646" w:rsidRPr="00B84CEE" w:rsidRDefault="00F02872" w:rsidP="00D86C9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De student verwoordt zijn visie op zijn pedagogisch handelen en kan dit verantwoorden, hier kritisch op reflecteren en mogelijke </w:t>
            </w:r>
            <w:r w:rsidR="00B84CEE" w:rsidRPr="00B84CEE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handelingsalternatieven benoemen</w:t>
            </w:r>
            <w:r w:rsidR="00233890" w:rsidRPr="00B84CEE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. De student</w:t>
            </w:r>
            <w:r w:rsidRPr="00B84CEE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gebruikt hierbij kennis over ontwikkelingstheorieën, groepsvorming, differentiatie, docentrollen (o.a. coaching), gedragstheorieën en zijn praktijkervaringen. </w:t>
            </w:r>
          </w:p>
        </w:tc>
      </w:tr>
      <w:tr w:rsidR="00734646" w:rsidRPr="00DA39F2" w14:paraId="4BD11C35" w14:textId="77777777" w:rsidTr="00734646">
        <w:trPr>
          <w:trHeight w:val="569"/>
        </w:trPr>
        <w:tc>
          <w:tcPr>
            <w:tcW w:w="22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1B89" w14:textId="5F7612CD" w:rsidR="00734646" w:rsidRPr="00B84CEE" w:rsidRDefault="00734646" w:rsidP="003754F4">
            <w:pPr>
              <w:spacing w:line="276" w:lineRule="auto"/>
              <w:jc w:val="right"/>
              <w:rPr>
                <w:b/>
                <w:sz w:val="18"/>
                <w:szCs w:val="18"/>
                <w:lang w:val="nl-NL"/>
              </w:rPr>
            </w:pPr>
            <w:r w:rsidRPr="00B84CEE">
              <w:rPr>
                <w:b/>
                <w:sz w:val="18"/>
                <w:szCs w:val="18"/>
                <w:lang w:val="nl-NL"/>
              </w:rPr>
              <w:t>Oordeel pedagogisch bekwaam</w:t>
            </w:r>
          </w:p>
          <w:p w14:paraId="76CBE48F" w14:textId="5682CBB8" w:rsidR="00734646" w:rsidRPr="00B84CEE" w:rsidRDefault="00734646" w:rsidP="003754F4">
            <w:pPr>
              <w:spacing w:line="276" w:lineRule="auto"/>
              <w:jc w:val="right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93DA" w14:textId="77777777" w:rsidR="00233890" w:rsidRPr="00B84CEE" w:rsidRDefault="00233890" w:rsidP="00233890">
            <w:pPr>
              <w:suppressAutoHyphens/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Dit bekwaamheidsgebied is </w:t>
            </w:r>
            <w:r w:rsidRPr="00B84CEE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lang w:val="nl-NL"/>
              </w:rPr>
              <w:t xml:space="preserve">excellent, boven niveau, op niveau </w:t>
            </w: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of </w:t>
            </w:r>
            <w:r w:rsidRPr="00B84CEE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lang w:val="nl-NL"/>
              </w:rPr>
              <w:t>onvoldoende</w:t>
            </w: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 aangetoond </w:t>
            </w:r>
            <w:r w:rsidRPr="00B84CE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  <w:t>(arceren wat van toepassing is).</w:t>
            </w:r>
          </w:p>
          <w:p w14:paraId="7221CDFE" w14:textId="77777777" w:rsidR="00734646" w:rsidRPr="00B84CEE" w:rsidRDefault="00734646" w:rsidP="00E44EC6">
            <w:pPr>
              <w:suppressAutoHyphens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Toelichting op het oordeel: beschrijf of en in hoeverre de student voldoet aan het beschreven niveau, geef feedback en feedforward: </w:t>
            </w:r>
          </w:p>
          <w:p w14:paraId="71AC4BED" w14:textId="77777777" w:rsidR="00734646" w:rsidRPr="00B84CEE" w:rsidRDefault="00734646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7BD9AE8C" w14:textId="77777777" w:rsidR="00985C96" w:rsidRDefault="00985C96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4614AFA0" w14:textId="77777777" w:rsidR="00B84CEE" w:rsidRDefault="00B84CEE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0801E594" w14:textId="690A2AB1" w:rsidR="00B84CEE" w:rsidRPr="00B84CEE" w:rsidRDefault="00B84CEE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</w:tc>
      </w:tr>
      <w:tr w:rsidR="00734646" w:rsidRPr="00DA39F2" w14:paraId="3549FA2B" w14:textId="77777777" w:rsidTr="00734646">
        <w:tc>
          <w:tcPr>
            <w:tcW w:w="222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F4FF" w14:textId="77777777" w:rsidR="00734646" w:rsidRPr="00B84CEE" w:rsidRDefault="00734646" w:rsidP="00275EFA">
            <w:pPr>
              <w:spacing w:line="276" w:lineRule="auto"/>
              <w:rPr>
                <w:lang w:val="nl-NL"/>
              </w:rPr>
            </w:pPr>
            <w:r w:rsidRPr="00B84CEE">
              <w:rPr>
                <w:lang w:val="nl-NL"/>
              </w:rPr>
              <w:lastRenderedPageBreak/>
              <w:br w:type="page"/>
            </w:r>
            <w:r w:rsidRPr="00B84CEE">
              <w:rPr>
                <w:lang w:val="nl-NL"/>
              </w:rPr>
              <w:br w:type="page"/>
            </w:r>
            <w:r w:rsidRPr="00B84CEE">
              <w:rPr>
                <w:b/>
                <w:sz w:val="18"/>
                <w:szCs w:val="18"/>
                <w:lang w:val="nl-NL"/>
              </w:rPr>
              <w:t xml:space="preserve">Vakdidactisch bekwaam </w:t>
            </w:r>
          </w:p>
          <w:p w14:paraId="544AA903" w14:textId="77777777" w:rsidR="00734646" w:rsidRPr="00B84CEE" w:rsidRDefault="00734646" w:rsidP="00275EFA">
            <w:pPr>
              <w:spacing w:line="276" w:lineRule="auto"/>
              <w:rPr>
                <w:b/>
                <w:sz w:val="18"/>
                <w:szCs w:val="18"/>
                <w:lang w:val="nl-NL"/>
              </w:rPr>
            </w:pPr>
          </w:p>
          <w:p w14:paraId="4F42B1C7" w14:textId="77777777" w:rsidR="00734646" w:rsidRPr="00B84CEE" w:rsidRDefault="00734646" w:rsidP="00275EFA">
            <w:pPr>
              <w:spacing w:line="276" w:lineRule="auto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FC82" w14:textId="775DC592" w:rsidR="00734646" w:rsidRPr="00B84CEE" w:rsidRDefault="00F55C69" w:rsidP="00985C96">
            <w:pPr>
              <w:rPr>
                <w:rFonts w:asciiTheme="majorHAnsi" w:hAnsiTheme="majorHAnsi" w:cstheme="majorHAnsi"/>
                <w:sz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De student kan zijn didactische aanpak uitleggen en verantwoorden op basis van vakdidactische inzichten, theorieën, feedback van leerlingen en collega’s. De student </w:t>
            </w:r>
            <w:r w:rsidR="00B84CEE" w:rsidRPr="00B84CEE">
              <w:rPr>
                <w:rFonts w:asciiTheme="majorHAnsi" w:hAnsiTheme="majorHAnsi" w:cstheme="majorHAnsi"/>
                <w:sz w:val="18"/>
                <w:lang w:val="nl-NL"/>
              </w:rPr>
              <w:t>zet ICT in</w:t>
            </w: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 ter ondersteuning van vakdidactische werkvormen om het leren van leerlingen/studenten te stimuleren en </w:t>
            </w:r>
            <w:r w:rsidR="00B84CEE" w:rsidRPr="00B84CEE">
              <w:rPr>
                <w:rFonts w:asciiTheme="majorHAnsi" w:hAnsiTheme="majorHAnsi" w:cstheme="majorHAnsi"/>
                <w:sz w:val="18"/>
                <w:lang w:val="nl-NL"/>
              </w:rPr>
              <w:t>om onderwijsactiviteiten te</w:t>
            </w: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 ontwerpen. </w:t>
            </w:r>
            <w:r w:rsidR="00233890" w:rsidRPr="00B84CEE">
              <w:rPr>
                <w:rFonts w:asciiTheme="majorHAnsi" w:hAnsiTheme="majorHAnsi" w:cstheme="majorHAnsi"/>
                <w:sz w:val="18"/>
                <w:lang w:val="nl-NL"/>
              </w:rPr>
              <w:t>De student</w:t>
            </w: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 reflecteert op zijn rol als vakdidacticus en de vakdidactische visie waar vanuit </w:t>
            </w:r>
            <w:r w:rsidR="00233890"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de student </w:t>
            </w: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>handelt</w:t>
            </w:r>
            <w:r w:rsidR="00B84CEE" w:rsidRPr="00B84CEE">
              <w:rPr>
                <w:rFonts w:asciiTheme="majorHAnsi" w:hAnsiTheme="majorHAnsi" w:cstheme="majorHAnsi"/>
                <w:sz w:val="18"/>
                <w:lang w:val="nl-NL"/>
              </w:rPr>
              <w:t>,</w:t>
            </w: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 en betrekt hierbij relevante theorie.</w:t>
            </w:r>
          </w:p>
        </w:tc>
      </w:tr>
      <w:tr w:rsidR="00734646" w:rsidRPr="00DA39F2" w14:paraId="03E25B17" w14:textId="77777777" w:rsidTr="00734646">
        <w:trPr>
          <w:trHeight w:val="569"/>
        </w:trPr>
        <w:tc>
          <w:tcPr>
            <w:tcW w:w="22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D5A7" w14:textId="389768E2" w:rsidR="00734646" w:rsidRPr="00B84CEE" w:rsidRDefault="00734646" w:rsidP="003754F4">
            <w:pPr>
              <w:spacing w:line="276" w:lineRule="auto"/>
              <w:jc w:val="right"/>
              <w:rPr>
                <w:b/>
                <w:sz w:val="18"/>
                <w:szCs w:val="18"/>
                <w:lang w:val="nl-NL"/>
              </w:rPr>
            </w:pPr>
            <w:r w:rsidRPr="00B84CEE">
              <w:rPr>
                <w:b/>
                <w:sz w:val="18"/>
                <w:szCs w:val="18"/>
                <w:lang w:val="nl-NL"/>
              </w:rPr>
              <w:t>Oordeel vakdidactisch bekwaam</w:t>
            </w:r>
          </w:p>
          <w:p w14:paraId="720F0FAC" w14:textId="082064A6" w:rsidR="00734646" w:rsidRPr="00B84CEE" w:rsidRDefault="00734646" w:rsidP="003754F4">
            <w:pPr>
              <w:spacing w:line="276" w:lineRule="auto"/>
              <w:jc w:val="right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F421" w14:textId="77777777" w:rsidR="00233890" w:rsidRPr="00B84CEE" w:rsidRDefault="00233890" w:rsidP="00233890">
            <w:pPr>
              <w:suppressAutoHyphens/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Dit bekwaamheidsgebied is </w:t>
            </w:r>
            <w:r w:rsidRPr="00B84CEE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lang w:val="nl-NL"/>
              </w:rPr>
              <w:t xml:space="preserve">excellent, boven niveau, op niveau </w:t>
            </w: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of </w:t>
            </w:r>
            <w:r w:rsidRPr="00B84CEE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lang w:val="nl-NL"/>
              </w:rPr>
              <w:t>onvoldoende</w:t>
            </w: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 aangetoond </w:t>
            </w:r>
            <w:r w:rsidRPr="00B84CE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  <w:t>(arceren wat van toepassing is).</w:t>
            </w:r>
          </w:p>
          <w:p w14:paraId="5794EB26" w14:textId="77777777" w:rsidR="00734646" w:rsidRPr="00B84CEE" w:rsidRDefault="00734646" w:rsidP="00215112">
            <w:pPr>
              <w:suppressAutoHyphens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Toelichting op het oordeel: beschrijf of en in hoeverre de student voldoet aan het beschreven niveau, geef feedback en feedforward: </w:t>
            </w:r>
          </w:p>
          <w:p w14:paraId="4BCC7765" w14:textId="77777777" w:rsidR="00734646" w:rsidRPr="00B84CEE" w:rsidRDefault="00734646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5C09CEB9" w14:textId="77777777" w:rsidR="00985C96" w:rsidRPr="00B84CEE" w:rsidRDefault="00985C96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4E1AE375" w14:textId="77777777" w:rsidR="00985C96" w:rsidRDefault="00985C96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08496CDF" w14:textId="22A27979" w:rsidR="00B84CEE" w:rsidRPr="00B84CEE" w:rsidRDefault="00B84CEE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</w:tc>
      </w:tr>
      <w:tr w:rsidR="00734646" w:rsidRPr="00DA39F2" w14:paraId="5617E8F4" w14:textId="77777777" w:rsidTr="00985C96">
        <w:trPr>
          <w:trHeight w:val="765"/>
        </w:trPr>
        <w:tc>
          <w:tcPr>
            <w:tcW w:w="222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3E0D" w14:textId="77777777" w:rsidR="00734646" w:rsidRPr="00B84CEE" w:rsidRDefault="00734646" w:rsidP="00710E3A">
            <w:pPr>
              <w:spacing w:line="276" w:lineRule="auto"/>
              <w:rPr>
                <w:b/>
                <w:sz w:val="18"/>
                <w:szCs w:val="18"/>
                <w:lang w:val="nl-NL"/>
              </w:rPr>
            </w:pPr>
            <w:r w:rsidRPr="00B84CEE">
              <w:rPr>
                <w:lang w:val="nl-NL"/>
              </w:rPr>
              <w:br w:type="page"/>
            </w:r>
            <w:r w:rsidRPr="00B84CEE">
              <w:rPr>
                <w:b/>
                <w:sz w:val="18"/>
                <w:szCs w:val="18"/>
                <w:lang w:val="nl-NL"/>
              </w:rPr>
              <w:t xml:space="preserve">Vakinhoudelijk bekwaam </w:t>
            </w:r>
          </w:p>
        </w:tc>
        <w:tc>
          <w:tcPr>
            <w:tcW w:w="11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D728" w14:textId="62389A70" w:rsidR="00734646" w:rsidRPr="00B84CEE" w:rsidRDefault="00C723AC" w:rsidP="00985C96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sz w:val="18"/>
                <w:lang w:val="nl-NL"/>
              </w:rPr>
              <w:t>De student kan de relevantie van zijn eigen vak benoemen en weet welke ontwikkelingen er gaande zijn</w:t>
            </w:r>
            <w:r w:rsidR="00233890" w:rsidRPr="00B84CEE">
              <w:rPr>
                <w:rFonts w:asciiTheme="majorHAnsi" w:hAnsiTheme="majorHAnsi" w:cstheme="majorHAnsi"/>
                <w:sz w:val="18"/>
                <w:lang w:val="nl-NL"/>
              </w:rPr>
              <w:t xml:space="preserve">. De student </w:t>
            </w:r>
            <w:r w:rsidRPr="00B84CEE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verbindt de opgedane vakinhoudelijke kennis aan zijn integrale handelen op niveau 2. </w:t>
            </w:r>
          </w:p>
        </w:tc>
      </w:tr>
      <w:tr w:rsidR="00734646" w:rsidRPr="00DA39F2" w14:paraId="06782583" w14:textId="77777777" w:rsidTr="00734646">
        <w:trPr>
          <w:trHeight w:val="346"/>
        </w:trPr>
        <w:tc>
          <w:tcPr>
            <w:tcW w:w="22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0E00" w14:textId="1B29F3E2" w:rsidR="00734646" w:rsidRPr="00B84CEE" w:rsidRDefault="00734646" w:rsidP="003754F4">
            <w:pPr>
              <w:suppressAutoHyphens/>
              <w:spacing w:line="276" w:lineRule="auto"/>
              <w:jc w:val="right"/>
              <w:rPr>
                <w:b/>
                <w:sz w:val="18"/>
                <w:szCs w:val="18"/>
                <w:lang w:val="nl-NL"/>
              </w:rPr>
            </w:pPr>
            <w:r w:rsidRPr="00B84CEE">
              <w:rPr>
                <w:b/>
                <w:sz w:val="18"/>
                <w:szCs w:val="18"/>
                <w:lang w:val="nl-NL"/>
              </w:rPr>
              <w:t>Oordeel vakinhoudelijk bekwaam</w:t>
            </w:r>
          </w:p>
          <w:p w14:paraId="6E50C728" w14:textId="517388BE" w:rsidR="00734646" w:rsidRPr="00B84CEE" w:rsidRDefault="00734646" w:rsidP="003754F4">
            <w:pPr>
              <w:suppressAutoHyphens/>
              <w:spacing w:line="276" w:lineRule="auto"/>
              <w:jc w:val="right"/>
              <w:rPr>
                <w:b/>
                <w:sz w:val="16"/>
                <w:szCs w:val="18"/>
                <w:lang w:val="nl-NL"/>
              </w:rPr>
            </w:pPr>
            <w:r w:rsidRPr="00B84CEE">
              <w:rPr>
                <w:b/>
                <w:sz w:val="16"/>
                <w:szCs w:val="18"/>
                <w:lang w:val="nl-NL"/>
              </w:rPr>
              <w:br/>
            </w:r>
            <w:r w:rsidRPr="00B84CEE">
              <w:rPr>
                <w:b/>
                <w:sz w:val="16"/>
                <w:szCs w:val="18"/>
                <w:lang w:val="nl-NL"/>
              </w:rPr>
              <w:br/>
            </w:r>
          </w:p>
          <w:p w14:paraId="2BF546AA" w14:textId="77777777" w:rsidR="00734646" w:rsidRPr="00B84CEE" w:rsidRDefault="00734646" w:rsidP="003754F4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30B4C562" w14:textId="77777777" w:rsidR="00734646" w:rsidRPr="00B84CEE" w:rsidRDefault="00734646" w:rsidP="00985C96">
            <w:pPr>
              <w:spacing w:line="276" w:lineRule="auto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1387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58F9" w14:textId="77777777" w:rsidR="00233890" w:rsidRPr="00B84CEE" w:rsidRDefault="00233890" w:rsidP="00233890">
            <w:pPr>
              <w:suppressAutoHyphens/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Dit bekwaamheidsgebied is </w:t>
            </w:r>
            <w:r w:rsidRPr="00B84CEE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lang w:val="nl-NL"/>
              </w:rPr>
              <w:t xml:space="preserve">excellent, boven niveau, op niveau </w:t>
            </w: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of </w:t>
            </w:r>
            <w:r w:rsidRPr="00B84CEE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lang w:val="nl-NL"/>
              </w:rPr>
              <w:t>onvoldoende</w:t>
            </w: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 aangetoond </w:t>
            </w:r>
            <w:r w:rsidRPr="00B84CE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nl-NL"/>
              </w:rPr>
              <w:t>(arceren wat van toepassing is).</w:t>
            </w:r>
          </w:p>
          <w:p w14:paraId="1E067C0F" w14:textId="77777777" w:rsidR="00C533D3" w:rsidRPr="00B84CEE" w:rsidRDefault="00C533D3" w:rsidP="00C533D3">
            <w:pPr>
              <w:suppressAutoHyphens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Toelichting op het oordeel: beschrijf of en in hoeverre de student voldoet aan het beschreven niveau, geef feedback en feedforward: </w:t>
            </w:r>
          </w:p>
          <w:p w14:paraId="04009883" w14:textId="77777777" w:rsidR="00734646" w:rsidRDefault="00734646" w:rsidP="00C533D3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3EE2196F" w14:textId="77777777" w:rsidR="00B84CEE" w:rsidRDefault="00B84CEE" w:rsidP="00C533D3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48F500E0" w14:textId="77777777" w:rsidR="00B84CEE" w:rsidRDefault="00B84CEE" w:rsidP="00C533D3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  <w:p w14:paraId="3E66BD47" w14:textId="02F6966A" w:rsidR="00B84CEE" w:rsidRPr="00B84CEE" w:rsidRDefault="00B84CEE" w:rsidP="00C533D3">
            <w:pPr>
              <w:suppressAutoHyphens/>
              <w:spacing w:line="276" w:lineRule="auto"/>
              <w:rPr>
                <w:sz w:val="18"/>
                <w:szCs w:val="18"/>
                <w:lang w:val="nl-NL"/>
              </w:rPr>
            </w:pPr>
          </w:p>
        </w:tc>
      </w:tr>
      <w:tr w:rsidR="00734646" w:rsidRPr="00B84CEE" w14:paraId="4827A53D" w14:textId="77777777" w:rsidTr="00985C96">
        <w:trPr>
          <w:trHeight w:val="1065"/>
        </w:trPr>
        <w:tc>
          <w:tcPr>
            <w:tcW w:w="222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E7E" w14:textId="77777777" w:rsidR="00734646" w:rsidRPr="00B84CEE" w:rsidRDefault="00734646" w:rsidP="00BB2BE7">
            <w:pPr>
              <w:pStyle w:val="Geenafstand"/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  <w:sz w:val="18"/>
                <w:szCs w:val="24"/>
                <w:lang w:val="nl-NL"/>
              </w:rPr>
            </w:pPr>
            <w:r w:rsidRPr="00B84CEE">
              <w:rPr>
                <w:rFonts w:asciiTheme="majorHAnsi" w:hAnsiTheme="majorHAnsi" w:cstheme="majorHAnsi"/>
                <w:i/>
                <w:iCs/>
                <w:sz w:val="18"/>
                <w:szCs w:val="24"/>
                <w:lang w:val="nl-NL"/>
              </w:rPr>
              <w:t xml:space="preserve">Let op: </w:t>
            </w:r>
          </w:p>
          <w:p w14:paraId="31CA686C" w14:textId="63A3ABBB" w:rsidR="00734646" w:rsidRPr="00B84CEE" w:rsidRDefault="00734646" w:rsidP="00BB2BE7">
            <w:pPr>
              <w:spacing w:after="0" w:line="276" w:lineRule="auto"/>
              <w:jc w:val="right"/>
              <w:rPr>
                <w:lang w:val="nl-NL"/>
              </w:rPr>
            </w:pPr>
            <w:r w:rsidRPr="00B84CEE">
              <w:rPr>
                <w:rFonts w:asciiTheme="majorHAnsi" w:hAnsiTheme="majorHAnsi" w:cstheme="majorHAnsi"/>
                <w:i/>
                <w:iCs/>
                <w:sz w:val="18"/>
                <w:szCs w:val="24"/>
                <w:lang w:val="nl-NL"/>
              </w:rPr>
              <w:t>Elk bekwaamheidsgebied moet voldoende aangetoond zijn voor een voldoende eindcijfer</w:t>
            </w:r>
          </w:p>
        </w:tc>
        <w:tc>
          <w:tcPr>
            <w:tcW w:w="11387" w:type="dxa"/>
            <w:gridSpan w:val="2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8F28" w14:textId="29D93561" w:rsidR="00734646" w:rsidRPr="00B84CEE" w:rsidRDefault="00734646" w:rsidP="00BB2BE7">
            <w:pPr>
              <w:suppressAutoHyphens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Eindoordeel </w:t>
            </w:r>
          </w:p>
          <w:p w14:paraId="63B6B6FD" w14:textId="77777777" w:rsidR="00734646" w:rsidRPr="00B84CEE" w:rsidRDefault="00734646" w:rsidP="00BB2BE7">
            <w:pPr>
              <w:suppressAutoHyphens/>
              <w:rPr>
                <w:rFonts w:asciiTheme="majorHAnsi" w:hAnsiTheme="majorHAnsi" w:cstheme="majorHAnsi"/>
                <w:b/>
                <w:sz w:val="18"/>
                <w:szCs w:val="18"/>
                <w:lang w:val="nl-NL" w:eastAsia="ar-SA"/>
              </w:rPr>
            </w:pPr>
            <w:r w:rsidRPr="00B84CEE">
              <w:rPr>
                <w:rFonts w:asciiTheme="majorHAnsi" w:hAnsiTheme="majorHAnsi" w:cstheme="majorHAnsi"/>
                <w:b/>
                <w:sz w:val="18"/>
                <w:szCs w:val="18"/>
                <w:lang w:val="nl-NL" w:eastAsia="ar-SA"/>
              </w:rPr>
              <w:t xml:space="preserve">CIJFER: </w:t>
            </w:r>
          </w:p>
          <w:p w14:paraId="66740FA7" w14:textId="77777777" w:rsidR="00734646" w:rsidRPr="00B84CEE" w:rsidRDefault="00734646" w:rsidP="00BB2BE7">
            <w:pPr>
              <w:suppressAutoHyphens/>
              <w:spacing w:line="276" w:lineRule="auto"/>
              <w:rPr>
                <w:b/>
                <w:sz w:val="18"/>
                <w:szCs w:val="18"/>
                <w:lang w:val="nl-NL"/>
              </w:rPr>
            </w:pPr>
          </w:p>
          <w:p w14:paraId="7EADEC85" w14:textId="77777777" w:rsidR="00734646" w:rsidRPr="00B84CEE" w:rsidRDefault="00734646" w:rsidP="00BB2BE7">
            <w:pPr>
              <w:suppressAutoHyphens/>
              <w:spacing w:line="276" w:lineRule="auto"/>
              <w:rPr>
                <w:b/>
                <w:sz w:val="16"/>
                <w:szCs w:val="18"/>
                <w:lang w:val="nl-NL"/>
              </w:rPr>
            </w:pPr>
          </w:p>
          <w:p w14:paraId="71579623" w14:textId="77777777" w:rsidR="00734646" w:rsidRPr="00B84CEE" w:rsidRDefault="00734646" w:rsidP="00BB2BE7">
            <w:pPr>
              <w:suppressAutoHyphens/>
              <w:spacing w:line="276" w:lineRule="auto"/>
              <w:rPr>
                <w:b/>
                <w:sz w:val="16"/>
                <w:szCs w:val="18"/>
                <w:lang w:val="nl-NL"/>
              </w:rPr>
            </w:pPr>
          </w:p>
        </w:tc>
      </w:tr>
    </w:tbl>
    <w:p w14:paraId="05580C40" w14:textId="6F0FCA84" w:rsidR="00985C96" w:rsidRPr="00B84CEE" w:rsidRDefault="00985C96">
      <w:pPr>
        <w:rPr>
          <w:lang w:val="nl-NL"/>
        </w:rPr>
      </w:pPr>
    </w:p>
    <w:sectPr w:rsidR="00985C96" w:rsidRPr="00B84CEE" w:rsidSect="0087462E">
      <w:footerReference w:type="default" r:id="rId10"/>
      <w:pgSz w:w="15840" w:h="12240" w:orient="landscape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5C09" w14:textId="77777777" w:rsidR="00F4459C" w:rsidRDefault="00F4459C" w:rsidP="005431D7">
      <w:pPr>
        <w:spacing w:after="0" w:line="240" w:lineRule="auto"/>
      </w:pPr>
      <w:r>
        <w:separator/>
      </w:r>
    </w:p>
  </w:endnote>
  <w:endnote w:type="continuationSeparator" w:id="0">
    <w:p w14:paraId="1336CAEE" w14:textId="77777777" w:rsidR="00F4459C" w:rsidRDefault="00F4459C" w:rsidP="0054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8DE6" w14:textId="5CAD7014" w:rsidR="005431D7" w:rsidRPr="00B53926" w:rsidRDefault="005431D7" w:rsidP="005431D7">
    <w:pPr>
      <w:pStyle w:val="Voettekst"/>
      <w:rPr>
        <w:color w:val="AEAAAA" w:themeColor="background2" w:themeShade="BF"/>
        <w:sz w:val="16"/>
      </w:rPr>
    </w:pPr>
    <w:r w:rsidRPr="00B53926">
      <w:rPr>
        <w:noProof/>
        <w:color w:val="AEAAAA" w:themeColor="background2" w:themeShade="BF"/>
        <w:sz w:val="16"/>
        <w:lang w:val="nl-NL" w:eastAsia="nl-NL"/>
      </w:rPr>
      <w:drawing>
        <wp:anchor distT="0" distB="0" distL="114300" distR="114300" simplePos="0" relativeHeight="251659264" behindDoc="0" locked="0" layoutInCell="1" allowOverlap="1" wp14:anchorId="1351C1EF" wp14:editId="4289B4C8">
          <wp:simplePos x="0" y="0"/>
          <wp:positionH relativeFrom="column">
            <wp:posOffset>7819243</wp:posOffset>
          </wp:positionH>
          <wp:positionV relativeFrom="paragraph">
            <wp:posOffset>-76200</wp:posOffset>
          </wp:positionV>
          <wp:extent cx="879182" cy="40151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182" cy="40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890">
      <w:rPr>
        <w:color w:val="AEAAAA" w:themeColor="background2" w:themeShade="BF"/>
        <w:sz w:val="16"/>
      </w:rPr>
      <w:t>2022-2023</w:t>
    </w:r>
  </w:p>
  <w:p w14:paraId="75FB7C87" w14:textId="77777777" w:rsidR="005431D7" w:rsidRDefault="005431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278E" w14:textId="77777777" w:rsidR="00F4459C" w:rsidRDefault="00F4459C" w:rsidP="005431D7">
      <w:pPr>
        <w:spacing w:after="0" w:line="240" w:lineRule="auto"/>
      </w:pPr>
      <w:r>
        <w:separator/>
      </w:r>
    </w:p>
  </w:footnote>
  <w:footnote w:type="continuationSeparator" w:id="0">
    <w:p w14:paraId="57A9311B" w14:textId="77777777" w:rsidR="00F4459C" w:rsidRDefault="00F4459C" w:rsidP="0054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57E4"/>
    <w:multiLevelType w:val="hybridMultilevel"/>
    <w:tmpl w:val="3170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76008"/>
    <w:multiLevelType w:val="hybridMultilevel"/>
    <w:tmpl w:val="D708C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87DC5"/>
    <w:multiLevelType w:val="hybridMultilevel"/>
    <w:tmpl w:val="8EE8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27C8A"/>
    <w:multiLevelType w:val="hybridMultilevel"/>
    <w:tmpl w:val="B720F376"/>
    <w:lvl w:ilvl="0" w:tplc="0508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E295F"/>
    <w:multiLevelType w:val="hybridMultilevel"/>
    <w:tmpl w:val="630E9A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B6583"/>
    <w:multiLevelType w:val="hybridMultilevel"/>
    <w:tmpl w:val="3BD0F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03E01"/>
    <w:multiLevelType w:val="hybridMultilevel"/>
    <w:tmpl w:val="59F8D854"/>
    <w:lvl w:ilvl="0" w:tplc="AD7AD0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AB10B7"/>
    <w:multiLevelType w:val="hybridMultilevel"/>
    <w:tmpl w:val="CE1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D7"/>
    <w:rsid w:val="000B6ADA"/>
    <w:rsid w:val="000E5E63"/>
    <w:rsid w:val="0016186D"/>
    <w:rsid w:val="00177522"/>
    <w:rsid w:val="001F0742"/>
    <w:rsid w:val="001F5748"/>
    <w:rsid w:val="00215112"/>
    <w:rsid w:val="00233890"/>
    <w:rsid w:val="00275EFA"/>
    <w:rsid w:val="002959B9"/>
    <w:rsid w:val="00335275"/>
    <w:rsid w:val="003754F4"/>
    <w:rsid w:val="003832D9"/>
    <w:rsid w:val="003A3042"/>
    <w:rsid w:val="003A3C8A"/>
    <w:rsid w:val="003E2879"/>
    <w:rsid w:val="004475D5"/>
    <w:rsid w:val="004967B4"/>
    <w:rsid w:val="004C5F03"/>
    <w:rsid w:val="004D3A31"/>
    <w:rsid w:val="00543053"/>
    <w:rsid w:val="005431D7"/>
    <w:rsid w:val="005721DF"/>
    <w:rsid w:val="005A3AE8"/>
    <w:rsid w:val="005E2E03"/>
    <w:rsid w:val="00652FFD"/>
    <w:rsid w:val="006D7C4E"/>
    <w:rsid w:val="006F5B2E"/>
    <w:rsid w:val="00710E3A"/>
    <w:rsid w:val="007122E5"/>
    <w:rsid w:val="007331AC"/>
    <w:rsid w:val="00734646"/>
    <w:rsid w:val="0073473D"/>
    <w:rsid w:val="00762C1A"/>
    <w:rsid w:val="007941DC"/>
    <w:rsid w:val="007F049B"/>
    <w:rsid w:val="00820EC6"/>
    <w:rsid w:val="008538F0"/>
    <w:rsid w:val="00886DFB"/>
    <w:rsid w:val="00897D68"/>
    <w:rsid w:val="008D094F"/>
    <w:rsid w:val="00985C96"/>
    <w:rsid w:val="009C11BE"/>
    <w:rsid w:val="009C63FC"/>
    <w:rsid w:val="00A02BD6"/>
    <w:rsid w:val="00A06693"/>
    <w:rsid w:val="00A13D74"/>
    <w:rsid w:val="00A4435E"/>
    <w:rsid w:val="00A75A1C"/>
    <w:rsid w:val="00A94C69"/>
    <w:rsid w:val="00AF1A08"/>
    <w:rsid w:val="00B24DB4"/>
    <w:rsid w:val="00B34514"/>
    <w:rsid w:val="00B84CEE"/>
    <w:rsid w:val="00BA0CD4"/>
    <w:rsid w:val="00BB2BE7"/>
    <w:rsid w:val="00BC05AB"/>
    <w:rsid w:val="00C2282E"/>
    <w:rsid w:val="00C533D3"/>
    <w:rsid w:val="00C723AC"/>
    <w:rsid w:val="00CE1DFD"/>
    <w:rsid w:val="00D72E4B"/>
    <w:rsid w:val="00D86C90"/>
    <w:rsid w:val="00DA39F2"/>
    <w:rsid w:val="00DD052B"/>
    <w:rsid w:val="00DE59D5"/>
    <w:rsid w:val="00DF0F25"/>
    <w:rsid w:val="00E14F81"/>
    <w:rsid w:val="00E40443"/>
    <w:rsid w:val="00E44EC6"/>
    <w:rsid w:val="00ED56B9"/>
    <w:rsid w:val="00ED5A0A"/>
    <w:rsid w:val="00F02872"/>
    <w:rsid w:val="00F4459C"/>
    <w:rsid w:val="00F55C69"/>
    <w:rsid w:val="00FB0B70"/>
    <w:rsid w:val="00FB48C3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96E8"/>
  <w15:chartTrackingRefBased/>
  <w15:docId w15:val="{F70C79B2-A2ED-41C8-BB8D-CC6BAB9D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3D3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43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50056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43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50056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43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500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31D7"/>
    <w:rPr>
      <w:rFonts w:asciiTheme="majorHAnsi" w:eastAsiaTheme="majorEastAsia" w:hAnsiTheme="majorHAnsi" w:cstheme="majorBidi"/>
      <w:color w:val="E50056"/>
      <w:sz w:val="32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5431D7"/>
    <w:rPr>
      <w:rFonts w:asciiTheme="majorHAnsi" w:eastAsiaTheme="majorEastAsia" w:hAnsiTheme="majorHAnsi" w:cstheme="majorBidi"/>
      <w:color w:val="E50056"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5431D7"/>
    <w:rPr>
      <w:rFonts w:asciiTheme="majorHAnsi" w:eastAsiaTheme="majorEastAsia" w:hAnsiTheme="majorHAnsi" w:cstheme="majorBidi"/>
      <w:i/>
      <w:iCs/>
      <w:color w:val="E50056"/>
      <w:lang w:val="en-US"/>
    </w:rPr>
  </w:style>
  <w:style w:type="paragraph" w:styleId="Geenafstand">
    <w:name w:val="No Spacing"/>
    <w:uiPriority w:val="1"/>
    <w:qFormat/>
    <w:rsid w:val="005431D7"/>
    <w:pPr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39"/>
    <w:rsid w:val="005431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431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4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1D7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4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1D7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9B9"/>
    <w:rPr>
      <w:rFonts w:ascii="Segoe UI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59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59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59B9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59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59B9"/>
    <w:rPr>
      <w:b/>
      <w:bCs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FD6E57"/>
    <w:pPr>
      <w:spacing w:line="252" w:lineRule="auto"/>
      <w:ind w:left="720"/>
      <w:contextualSpacing/>
    </w:pPr>
    <w:rPr>
      <w:rFonts w:ascii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14486b-86e5-49d8-9dae-95bcbe20b95b">
      <Terms xmlns="http://schemas.microsoft.com/office/infopath/2007/PartnerControls"/>
    </lcf76f155ced4ddcb4097134ff3c332f>
    <TaxCatchAll xmlns="abf7e546-0523-4d23-ba04-b3b64cc28b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6D82DCBBC35458DEB46500EFA8A15" ma:contentTypeVersion="16" ma:contentTypeDescription="Een nieuw document maken." ma:contentTypeScope="" ma:versionID="0b706172d5cb4fb8d4c2cfb72dc4964e">
  <xsd:schema xmlns:xsd="http://www.w3.org/2001/XMLSchema" xmlns:xs="http://www.w3.org/2001/XMLSchema" xmlns:p="http://schemas.microsoft.com/office/2006/metadata/properties" xmlns:ns2="abf7e546-0523-4d23-ba04-b3b64cc28b69" xmlns:ns3="8714486b-86e5-49d8-9dae-95bcbe20b95b" targetNamespace="http://schemas.microsoft.com/office/2006/metadata/properties" ma:root="true" ma:fieldsID="20ae202abe0b0285735f4acb4e2c4e2b" ns2:_="" ns3:_="">
    <xsd:import namespace="abf7e546-0523-4d23-ba04-b3b64cc28b69"/>
    <xsd:import namespace="8714486b-86e5-49d8-9dae-95bcbe20b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e546-0523-4d23-ba04-b3b64cc2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cd3421-6b6d-41fd-bc7d-bfacbb824f4a}" ma:internalName="TaxCatchAll" ma:showField="CatchAllData" ma:web="abf7e546-0523-4d23-ba04-b3b64cc28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486b-86e5-49d8-9dae-95bcbe2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CB70C-0C4D-4D52-915D-6D08AC91254C}">
  <ds:schemaRefs>
    <ds:schemaRef ds:uri="http://schemas.microsoft.com/office/2006/metadata/properties"/>
    <ds:schemaRef ds:uri="http://schemas.microsoft.com/office/infopath/2007/PartnerControls"/>
    <ds:schemaRef ds:uri="a6699409-5ffe-4033-b961-0de3250c8e30"/>
    <ds:schemaRef ds:uri="8714486b-86e5-49d8-9dae-95bcbe20b95b"/>
    <ds:schemaRef ds:uri="abf7e546-0523-4d23-ba04-b3b64cc28b69"/>
  </ds:schemaRefs>
</ds:datastoreItem>
</file>

<file path=customXml/itemProps2.xml><?xml version="1.0" encoding="utf-8"?>
<ds:datastoreItem xmlns:ds="http://schemas.openxmlformats.org/officeDocument/2006/customXml" ds:itemID="{C9DD3C76-8F98-4FD0-968A-8E3C1B573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B7E6F-4F58-4066-855C-96B8076D4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7e546-0523-4d23-ba04-b3b64cc28b69"/>
    <ds:schemaRef ds:uri="8714486b-86e5-49d8-9dae-95bcbe20b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 Loes</dc:creator>
  <cp:keywords/>
  <dc:description/>
  <cp:lastModifiedBy>Laura Gardien</cp:lastModifiedBy>
  <cp:revision>3</cp:revision>
  <dcterms:created xsi:type="dcterms:W3CDTF">2022-09-13T13:00:00Z</dcterms:created>
  <dcterms:modified xsi:type="dcterms:W3CDTF">2022-09-14T12:26:00Z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0x01010084A6D82DCBBC35458DEB46500EFA8A15</vt:lpwstr>
  </property>
  <property fmtid="{D5CDD505-2E9C-101B-9397-08002B2CF9AE}" pid="3" name="_dlc_DocIdItemGuid">
    <vt:lpwstr>be3f7a13-a2ac-48ca-a693-7c3b277e700b</vt:lpwstr>
  </property>
  <property fmtid="{D5CDD505-2E9C-101B-9397-08002B2CF9AE}" pid="4" name="MediaServiceImageTags">
    <vt:lpwstr/>
  </property>
</Properties>
</file>