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horzAnchor="margin" w:tblpY="852"/>
        <w:tblW w:w="0" w:type="auto"/>
        <w:tblLook w:val="04A0" w:firstRow="1" w:lastRow="0" w:firstColumn="1" w:lastColumn="0" w:noHBand="0" w:noVBand="1"/>
      </w:tblPr>
      <w:tblGrid>
        <w:gridCol w:w="1980"/>
        <w:gridCol w:w="4252"/>
        <w:gridCol w:w="2784"/>
      </w:tblGrid>
      <w:tr w:rsidR="00BF65D8" w:rsidRPr="00760043" w14:paraId="38A84216" w14:textId="77777777" w:rsidTr="000163A9">
        <w:tc>
          <w:tcPr>
            <w:tcW w:w="1980" w:type="dxa"/>
          </w:tcPr>
          <w:p w14:paraId="671A755D" w14:textId="0BB49D64" w:rsidR="00BF65D8" w:rsidRPr="00BF65D8" w:rsidRDefault="00BF65D8" w:rsidP="00751B19">
            <w:pPr>
              <w:rPr>
                <w:b/>
                <w:bCs/>
              </w:rPr>
            </w:pPr>
            <w:bookmarkStart w:id="0" w:name="_Hlk92696071"/>
            <w:r w:rsidRPr="00BF65D8">
              <w:rPr>
                <w:b/>
                <w:bCs/>
              </w:rPr>
              <w:t xml:space="preserve">Module </w:t>
            </w:r>
            <w:r w:rsidR="003C531C">
              <w:rPr>
                <w:b/>
                <w:bCs/>
              </w:rPr>
              <w:t>…</w:t>
            </w:r>
          </w:p>
        </w:tc>
        <w:tc>
          <w:tcPr>
            <w:tcW w:w="7036" w:type="dxa"/>
            <w:gridSpan w:val="2"/>
          </w:tcPr>
          <w:p w14:paraId="7D1563F2" w14:textId="5953A21F" w:rsidR="00BF65D8" w:rsidRPr="00C816FF" w:rsidRDefault="00BF65D8" w:rsidP="00751B19">
            <w:pPr>
              <w:rPr>
                <w:b/>
                <w:bCs/>
              </w:rPr>
            </w:pPr>
            <w:r w:rsidRPr="00C816FF">
              <w:rPr>
                <w:b/>
                <w:bCs/>
              </w:rPr>
              <w:t xml:space="preserve">LHBTQIA+ en sociale media </w:t>
            </w:r>
          </w:p>
        </w:tc>
      </w:tr>
      <w:tr w:rsidR="00BF65D8" w:rsidRPr="00760043" w14:paraId="3418F60B" w14:textId="77777777" w:rsidTr="000163A9">
        <w:tc>
          <w:tcPr>
            <w:tcW w:w="1980" w:type="dxa"/>
          </w:tcPr>
          <w:p w14:paraId="29FC138B" w14:textId="77777777" w:rsidR="00BF65D8" w:rsidRPr="001E7718" w:rsidRDefault="00BF65D8" w:rsidP="00751B19">
            <w:pPr>
              <w:rPr>
                <w:b/>
                <w:bCs/>
              </w:rPr>
            </w:pPr>
            <w:r w:rsidRPr="001E7718">
              <w:rPr>
                <w:b/>
                <w:bCs/>
              </w:rPr>
              <w:t>Unit Question</w:t>
            </w:r>
          </w:p>
        </w:tc>
        <w:tc>
          <w:tcPr>
            <w:tcW w:w="7036" w:type="dxa"/>
            <w:gridSpan w:val="2"/>
          </w:tcPr>
          <w:p w14:paraId="001A33EE" w14:textId="77777777" w:rsidR="00BF65D8" w:rsidRDefault="00BF65D8" w:rsidP="00751B19">
            <w:r>
              <w:t>W</w:t>
            </w:r>
            <w:r w:rsidRPr="00760043">
              <w:t>a</w:t>
            </w:r>
            <w:r>
              <w:t xml:space="preserve">arom is er sprake van </w:t>
            </w:r>
            <w:r w:rsidR="008D75A0">
              <w:t>(</w:t>
            </w:r>
            <w:r>
              <w:t>online</w:t>
            </w:r>
            <w:r w:rsidR="008D75A0">
              <w:t>)</w:t>
            </w:r>
            <w:r>
              <w:t xml:space="preserve"> intolerantie en haat en wat</w:t>
            </w:r>
            <w:r w:rsidRPr="00760043">
              <w:t xml:space="preserve"> k</w:t>
            </w:r>
            <w:r>
              <w:t>a</w:t>
            </w:r>
            <w:r w:rsidRPr="00760043">
              <w:t>n je er aan doen?</w:t>
            </w:r>
          </w:p>
          <w:p w14:paraId="46869543" w14:textId="746E46B0" w:rsidR="000163A9" w:rsidRPr="00760043" w:rsidRDefault="000163A9" w:rsidP="00751B19"/>
        </w:tc>
      </w:tr>
      <w:tr w:rsidR="00BF65D8" w:rsidRPr="00760043" w14:paraId="3968FC8A" w14:textId="77777777" w:rsidTr="000163A9">
        <w:tc>
          <w:tcPr>
            <w:tcW w:w="1980" w:type="dxa"/>
          </w:tcPr>
          <w:p w14:paraId="3CA3E182" w14:textId="77777777" w:rsidR="00BF65D8" w:rsidRPr="001E7718" w:rsidRDefault="00BF65D8" w:rsidP="00751B19">
            <w:pPr>
              <w:rPr>
                <w:b/>
                <w:bCs/>
              </w:rPr>
            </w:pPr>
            <w:r w:rsidRPr="001E7718">
              <w:rPr>
                <w:b/>
                <w:bCs/>
              </w:rPr>
              <w:t>Context</w:t>
            </w:r>
          </w:p>
        </w:tc>
        <w:tc>
          <w:tcPr>
            <w:tcW w:w="7036" w:type="dxa"/>
            <w:gridSpan w:val="2"/>
          </w:tcPr>
          <w:p w14:paraId="76164C3B" w14:textId="672FF663" w:rsidR="00C816FF" w:rsidRDefault="00CE6393" w:rsidP="000F1894">
            <w:r w:rsidRPr="00CE6393">
              <w:t xml:space="preserve">Studenten/leerlingen moeten ervan bewust worden gemaakt dat ze in hun rol als individu, burger van Nederland en professional in contact zullen komen met de </w:t>
            </w:r>
            <w:r w:rsidR="00C816FF" w:rsidRPr="000F1894">
              <w:t xml:space="preserve"> LHBTQIA+</w:t>
            </w:r>
            <w:r w:rsidRPr="00CE6393">
              <w:t xml:space="preserve"> gemeenschap. Recent onderzoek heeft aangetoond dat de intolerantie van jongeren ten opzichte van de </w:t>
            </w:r>
            <w:r w:rsidR="00C816FF" w:rsidRPr="000F1894">
              <w:t xml:space="preserve"> LHBTQIA+</w:t>
            </w:r>
            <w:r w:rsidRPr="00CE6393">
              <w:t xml:space="preserve">-gemeenschap sterk toeneemt. Uitingen hiervan zijn zowel offline als online merkbaar. Op sociale mediakanalen zoals </w:t>
            </w:r>
            <w:r w:rsidR="003801E3" w:rsidRPr="00CE6393">
              <w:t>YouTube</w:t>
            </w:r>
            <w:r w:rsidRPr="00CE6393">
              <w:t xml:space="preserve"> en Instagram is er een sterke toename van hatelijke </w:t>
            </w:r>
            <w:proofErr w:type="spellStart"/>
            <w:r w:rsidRPr="00CE6393">
              <w:t>posts</w:t>
            </w:r>
            <w:proofErr w:type="spellEnd"/>
            <w:r w:rsidRPr="00CE6393">
              <w:t xml:space="preserve">. De schermtijd van leerlingen/studenten neemt echter toe. </w:t>
            </w:r>
          </w:p>
          <w:p w14:paraId="0E7CE9EB" w14:textId="3FE2BB65" w:rsidR="00C816FF" w:rsidRPr="000F1894" w:rsidRDefault="00C816FF" w:rsidP="000F1894">
            <w:r w:rsidRPr="00C816FF">
              <w:t>Deze module richt zich op bewustwording, het vormen van een eigen mening en het begrijpen welke acties leerlingen/studenten kunnen ondernemen om dergelijke uitingen tegen te gaan, zowel offline als online.</w:t>
            </w:r>
          </w:p>
          <w:p w14:paraId="03C4B3E5" w14:textId="77777777" w:rsidR="00236207" w:rsidRDefault="00236207" w:rsidP="00751B19">
            <w:pPr>
              <w:rPr>
                <w:color w:val="FF0000"/>
              </w:rPr>
            </w:pPr>
          </w:p>
          <w:p w14:paraId="760F0613" w14:textId="77777777" w:rsidR="00236207" w:rsidRPr="00BF65D8" w:rsidRDefault="00236207" w:rsidP="00751B19">
            <w:pPr>
              <w:rPr>
                <w:color w:val="FF0000"/>
              </w:rPr>
            </w:pPr>
          </w:p>
        </w:tc>
      </w:tr>
      <w:tr w:rsidR="00BF65D8" w:rsidRPr="00760043" w14:paraId="0F6ED843" w14:textId="77777777" w:rsidTr="000163A9">
        <w:tc>
          <w:tcPr>
            <w:tcW w:w="1980" w:type="dxa"/>
          </w:tcPr>
          <w:p w14:paraId="0BAD1ADE" w14:textId="77777777" w:rsidR="00BF65D8" w:rsidRPr="001E7718" w:rsidRDefault="00BF65D8" w:rsidP="00751B19">
            <w:pPr>
              <w:rPr>
                <w:b/>
                <w:bCs/>
              </w:rPr>
            </w:pPr>
            <w:r w:rsidRPr="001E7718">
              <w:rPr>
                <w:b/>
                <w:bCs/>
              </w:rPr>
              <w:t>Doelen</w:t>
            </w:r>
          </w:p>
        </w:tc>
        <w:tc>
          <w:tcPr>
            <w:tcW w:w="7036" w:type="dxa"/>
            <w:gridSpan w:val="2"/>
          </w:tcPr>
          <w:p w14:paraId="04996CA9" w14:textId="77777777" w:rsidR="001E7718" w:rsidRDefault="001E7718" w:rsidP="001E7718">
            <w:pPr>
              <w:pStyle w:val="Lijstalinea"/>
              <w:numPr>
                <w:ilvl w:val="0"/>
                <w:numId w:val="4"/>
              </w:numPr>
            </w:pPr>
            <w:r>
              <w:t>De student/leerling kan in eigen woorden uitleggen wat LHBTQIA+ inhoudt</w:t>
            </w:r>
          </w:p>
          <w:p w14:paraId="0CEA4E56" w14:textId="77777777" w:rsidR="001E7718" w:rsidRDefault="001E7718" w:rsidP="001E7718">
            <w:pPr>
              <w:pStyle w:val="Lijstalinea"/>
              <w:numPr>
                <w:ilvl w:val="0"/>
                <w:numId w:val="4"/>
              </w:numPr>
            </w:pPr>
            <w:r>
              <w:t>De l</w:t>
            </w:r>
            <w:r w:rsidRPr="007E2658">
              <w:t>eerlingen</w:t>
            </w:r>
            <w:r>
              <w:t>/student</w:t>
            </w:r>
            <w:r w:rsidRPr="007E2658">
              <w:t xml:space="preserve"> k</w:t>
            </w:r>
            <w:r>
              <w:t>an</w:t>
            </w:r>
            <w:r w:rsidRPr="007E2658">
              <w:t xml:space="preserve"> </w:t>
            </w:r>
            <w:r>
              <w:t>zijn/haar/hen</w:t>
            </w:r>
            <w:r w:rsidRPr="007E2658">
              <w:t xml:space="preserve"> eigen opvattingen (waarden en normen) over seksuele geaardheid benoemen;</w:t>
            </w:r>
          </w:p>
          <w:p w14:paraId="13CC02E6" w14:textId="7E2F104F" w:rsidR="001E7718" w:rsidRDefault="001E7718" w:rsidP="001E7718">
            <w:pPr>
              <w:pStyle w:val="Lijstalinea"/>
              <w:numPr>
                <w:ilvl w:val="0"/>
                <w:numId w:val="4"/>
              </w:numPr>
            </w:pPr>
            <w:r w:rsidRPr="0059782B">
              <w:t xml:space="preserve">De leerling/student kan in eigen woorden uitleggen wat zijn/haar/hen zelf kan doen om een veiligere omgeving te creëren </w:t>
            </w:r>
            <w:r w:rsidR="004A37D2">
              <w:t>(</w:t>
            </w:r>
            <w:r w:rsidRPr="0059782B">
              <w:t xml:space="preserve">voor de </w:t>
            </w:r>
            <w:r>
              <w:t>LHBTQIA+-gemeenschap</w:t>
            </w:r>
            <w:r w:rsidR="004A37D2">
              <w:t>)</w:t>
            </w:r>
            <w:r w:rsidRPr="0059782B">
              <w:t xml:space="preserve"> op sociale media.</w:t>
            </w:r>
          </w:p>
          <w:p w14:paraId="1497FA3D" w14:textId="77777777" w:rsidR="001E7718" w:rsidRDefault="001E7718" w:rsidP="001E7718">
            <w:pPr>
              <w:pStyle w:val="Lijstalinea"/>
              <w:numPr>
                <w:ilvl w:val="0"/>
                <w:numId w:val="4"/>
              </w:numPr>
            </w:pPr>
            <w:r w:rsidRPr="0059782B">
              <w:t xml:space="preserve">De student/leerling kan uitleggen dat haatdragendheid tegen de </w:t>
            </w:r>
            <w:r>
              <w:t>LHBTQIA+-gemeenschap</w:t>
            </w:r>
            <w:r w:rsidRPr="0059782B">
              <w:t xml:space="preserve"> geen nieuw fenomeen is, maar in de loop van de geschiedenis vaak is voorgekomen.</w:t>
            </w:r>
          </w:p>
          <w:p w14:paraId="2567B0FB" w14:textId="77777777" w:rsidR="001E7718" w:rsidRDefault="001E7718" w:rsidP="001E7718">
            <w:pPr>
              <w:pStyle w:val="Lijstalinea"/>
              <w:numPr>
                <w:ilvl w:val="0"/>
                <w:numId w:val="4"/>
              </w:numPr>
            </w:pPr>
            <w:r w:rsidRPr="0059782B">
              <w:t xml:space="preserve">De leerling/student kan de gevolgen beschrijven voor leeftijdsgenoten die tot de </w:t>
            </w:r>
            <w:r>
              <w:t xml:space="preserve">LHBTQIA+-gemeenschap </w:t>
            </w:r>
            <w:r w:rsidRPr="0059782B">
              <w:t>behoren en te maken krijgen met intolerantie.</w:t>
            </w:r>
          </w:p>
          <w:p w14:paraId="77C659C5" w14:textId="77777777" w:rsidR="006F4A3C" w:rsidRPr="00BF65D8" w:rsidRDefault="006F4A3C" w:rsidP="006F4A3C">
            <w:pPr>
              <w:contextualSpacing/>
              <w:rPr>
                <w:color w:val="FF0000"/>
              </w:rPr>
            </w:pPr>
          </w:p>
        </w:tc>
      </w:tr>
      <w:tr w:rsidR="00BF65D8" w:rsidRPr="00760043" w14:paraId="507CB393" w14:textId="77777777" w:rsidTr="000163A9">
        <w:tc>
          <w:tcPr>
            <w:tcW w:w="1980" w:type="dxa"/>
          </w:tcPr>
          <w:p w14:paraId="2A6B3D9C" w14:textId="77777777" w:rsidR="00BF65D8" w:rsidRPr="001E7718" w:rsidRDefault="00BF65D8" w:rsidP="00751B19">
            <w:pPr>
              <w:rPr>
                <w:b/>
                <w:bCs/>
              </w:rPr>
            </w:pPr>
            <w:r w:rsidRPr="001E7718">
              <w:rPr>
                <w:b/>
                <w:bCs/>
              </w:rPr>
              <w:t>Verantwoording aanpak</w:t>
            </w:r>
          </w:p>
        </w:tc>
        <w:tc>
          <w:tcPr>
            <w:tcW w:w="7036" w:type="dxa"/>
            <w:gridSpan w:val="2"/>
          </w:tcPr>
          <w:p w14:paraId="6F275725" w14:textId="77777777" w:rsidR="00BF65D8" w:rsidRPr="005E4335" w:rsidRDefault="00BF65D8" w:rsidP="00BF65D8">
            <w:pPr>
              <w:numPr>
                <w:ilvl w:val="0"/>
                <w:numId w:val="2"/>
              </w:numPr>
              <w:contextualSpacing/>
            </w:pPr>
            <w:r w:rsidRPr="005E4335">
              <w:t>Egan, filosofische fase</w:t>
            </w:r>
          </w:p>
          <w:p w14:paraId="53471F99" w14:textId="77777777" w:rsidR="00BF65D8" w:rsidRPr="005E4335" w:rsidRDefault="00BF65D8" w:rsidP="00BF65D8">
            <w:pPr>
              <w:numPr>
                <w:ilvl w:val="0"/>
                <w:numId w:val="2"/>
              </w:numPr>
              <w:contextualSpacing/>
            </w:pPr>
            <w:r w:rsidRPr="005E4335">
              <w:t>Kritisch denken</w:t>
            </w:r>
          </w:p>
          <w:p w14:paraId="39256910" w14:textId="02663A29" w:rsidR="00BF65D8" w:rsidRPr="005E4335" w:rsidRDefault="00BF65D8" w:rsidP="00BF65D8">
            <w:pPr>
              <w:numPr>
                <w:ilvl w:val="0"/>
                <w:numId w:val="2"/>
              </w:numPr>
              <w:contextualSpacing/>
            </w:pPr>
            <w:r w:rsidRPr="005E4335">
              <w:t xml:space="preserve">Kennis van aspecten van seksuele geaardheid is een eis binnen burgerschapsonderwijs, sluit aan bij de stofomschrijving van de sociaal-maatschappelijke en de politiek-maatschappelijke dimensie (zie o.a. </w:t>
            </w:r>
            <w:hyperlink r:id="rId5" w:history="1">
              <w:r w:rsidRPr="005E4335">
                <w:rPr>
                  <w:rStyle w:val="Hyperlink"/>
                  <w:color w:val="auto"/>
                </w:rPr>
                <w:t>www.burgerschapmbo.nl</w:t>
              </w:r>
            </w:hyperlink>
            <w:r w:rsidRPr="005E4335">
              <w:t>)</w:t>
            </w:r>
          </w:p>
          <w:p w14:paraId="6A9425D8" w14:textId="77777777" w:rsidR="00BF65D8" w:rsidRPr="00BF65D8" w:rsidRDefault="00BF65D8" w:rsidP="00BF65D8">
            <w:pPr>
              <w:ind w:left="720"/>
              <w:contextualSpacing/>
              <w:rPr>
                <w:color w:val="FF0000"/>
              </w:rPr>
            </w:pPr>
          </w:p>
        </w:tc>
      </w:tr>
      <w:tr w:rsidR="00BF65D8" w:rsidRPr="00760043" w14:paraId="43AC92D2" w14:textId="77777777" w:rsidTr="000163A9">
        <w:tc>
          <w:tcPr>
            <w:tcW w:w="1980" w:type="dxa"/>
          </w:tcPr>
          <w:p w14:paraId="5B01DBA7" w14:textId="77777777" w:rsidR="00BF65D8" w:rsidRPr="001E7718" w:rsidRDefault="00BF65D8" w:rsidP="00751B19">
            <w:pPr>
              <w:rPr>
                <w:b/>
                <w:bCs/>
              </w:rPr>
            </w:pPr>
            <w:r w:rsidRPr="001E7718">
              <w:rPr>
                <w:b/>
                <w:bCs/>
              </w:rPr>
              <w:t>Benodigdheden</w:t>
            </w:r>
          </w:p>
        </w:tc>
        <w:tc>
          <w:tcPr>
            <w:tcW w:w="7036" w:type="dxa"/>
            <w:gridSpan w:val="2"/>
          </w:tcPr>
          <w:p w14:paraId="5D063274" w14:textId="577B4921" w:rsidR="00413BE9" w:rsidRPr="00413BE9" w:rsidRDefault="00BF65D8" w:rsidP="00BF65D8">
            <w:pPr>
              <w:numPr>
                <w:ilvl w:val="0"/>
                <w:numId w:val="2"/>
              </w:numPr>
              <w:contextualSpacing/>
            </w:pPr>
            <w:r w:rsidRPr="00413BE9">
              <w:t xml:space="preserve">Smartbord </w:t>
            </w:r>
            <w:r w:rsidR="001E7718" w:rsidRPr="00413BE9">
              <w:t>met geluid</w:t>
            </w:r>
          </w:p>
          <w:p w14:paraId="715479EB" w14:textId="7C59EB34" w:rsidR="00BF65D8" w:rsidRPr="00413BE9" w:rsidRDefault="00413BE9" w:rsidP="00BF65D8">
            <w:pPr>
              <w:numPr>
                <w:ilvl w:val="0"/>
                <w:numId w:val="2"/>
              </w:numPr>
              <w:contextualSpacing/>
            </w:pPr>
            <w:r w:rsidRPr="00413BE9">
              <w:t>PowerPoint van de module</w:t>
            </w:r>
          </w:p>
          <w:p w14:paraId="5D57BD54" w14:textId="6B77F267" w:rsidR="00BF65D8" w:rsidRPr="00EC0174" w:rsidRDefault="00413BE9" w:rsidP="00BF65D8">
            <w:pPr>
              <w:numPr>
                <w:ilvl w:val="0"/>
                <w:numId w:val="2"/>
              </w:numPr>
              <w:contextualSpacing/>
            </w:pPr>
            <w:r w:rsidRPr="00EC0174">
              <w:t>Geprinte discussiekaartjes</w:t>
            </w:r>
            <w:r w:rsidR="00BF65D8" w:rsidRPr="00EC0174">
              <w:t xml:space="preserve"> (3 per groep)</w:t>
            </w:r>
          </w:p>
          <w:p w14:paraId="50D62DEC" w14:textId="77777777" w:rsidR="00BF65D8" w:rsidRPr="00BF65D8" w:rsidRDefault="00BF65D8" w:rsidP="00BF65D8">
            <w:pPr>
              <w:ind w:left="720"/>
              <w:contextualSpacing/>
              <w:rPr>
                <w:color w:val="FF0000"/>
              </w:rPr>
            </w:pPr>
          </w:p>
        </w:tc>
      </w:tr>
      <w:tr w:rsidR="00323AE1" w:rsidRPr="00760043" w14:paraId="624AB695" w14:textId="77777777" w:rsidTr="000163A9">
        <w:tc>
          <w:tcPr>
            <w:tcW w:w="1980" w:type="dxa"/>
          </w:tcPr>
          <w:p w14:paraId="2765E3E0" w14:textId="714AE08F" w:rsidR="00323AE1" w:rsidRPr="001E7718" w:rsidRDefault="00323AE1" w:rsidP="00751B19">
            <w:pPr>
              <w:rPr>
                <w:b/>
                <w:bCs/>
              </w:rPr>
            </w:pPr>
          </w:p>
        </w:tc>
        <w:tc>
          <w:tcPr>
            <w:tcW w:w="7036" w:type="dxa"/>
            <w:gridSpan w:val="2"/>
          </w:tcPr>
          <w:p w14:paraId="0AE3DABA" w14:textId="77777777" w:rsidR="00323AE1" w:rsidRPr="00413BE9" w:rsidRDefault="00323AE1" w:rsidP="00323AE1">
            <w:pPr>
              <w:ind w:left="720"/>
              <w:contextualSpacing/>
            </w:pPr>
          </w:p>
        </w:tc>
      </w:tr>
      <w:tr w:rsidR="00BF65D8" w:rsidRPr="00760043" w14:paraId="29F21B3D" w14:textId="77777777" w:rsidTr="000163A9">
        <w:tc>
          <w:tcPr>
            <w:tcW w:w="1980" w:type="dxa"/>
          </w:tcPr>
          <w:p w14:paraId="5F1C3CC0" w14:textId="77777777" w:rsidR="00BF65D8" w:rsidRDefault="00BF65D8" w:rsidP="00751B19">
            <w:pPr>
              <w:rPr>
                <w:b/>
                <w:bCs/>
              </w:rPr>
            </w:pPr>
            <w:proofErr w:type="spellStart"/>
            <w:r w:rsidRPr="001E7718">
              <w:rPr>
                <w:b/>
                <w:bCs/>
              </w:rPr>
              <w:t>Lesfase</w:t>
            </w:r>
            <w:proofErr w:type="spellEnd"/>
            <w:r w:rsidRPr="001E7718">
              <w:rPr>
                <w:b/>
                <w:bCs/>
              </w:rPr>
              <w:t xml:space="preserve"> 1 (</w:t>
            </w:r>
            <w:r w:rsidR="001A72E6">
              <w:rPr>
                <w:b/>
                <w:bCs/>
              </w:rPr>
              <w:t xml:space="preserve"> </w:t>
            </w:r>
            <w:r w:rsidR="00323AE1">
              <w:rPr>
                <w:b/>
                <w:bCs/>
              </w:rPr>
              <w:t>10</w:t>
            </w:r>
            <w:r w:rsidRPr="001E7718">
              <w:rPr>
                <w:b/>
                <w:bCs/>
              </w:rPr>
              <w:t xml:space="preserve"> min)</w:t>
            </w:r>
            <w:r w:rsidR="00EE3A34">
              <w:rPr>
                <w:b/>
                <w:bCs/>
              </w:rPr>
              <w:t>*</w:t>
            </w:r>
          </w:p>
          <w:p w14:paraId="72307C0E" w14:textId="77777777" w:rsidR="00EE3A34" w:rsidRDefault="00EE3A34" w:rsidP="00751B19">
            <w:pPr>
              <w:rPr>
                <w:b/>
                <w:bCs/>
              </w:rPr>
            </w:pPr>
          </w:p>
          <w:p w14:paraId="4E896532" w14:textId="71E48BE4" w:rsidR="00EE3A34" w:rsidRPr="00EE3A34" w:rsidRDefault="00EE3A34" w:rsidP="00EE3A34">
            <w:pPr>
              <w:rPr>
                <w:b/>
                <w:bCs/>
              </w:rPr>
            </w:pPr>
            <w:r>
              <w:rPr>
                <w:b/>
                <w:bCs/>
              </w:rPr>
              <w:lastRenderedPageBreak/>
              <w:t xml:space="preserve">*15 min wanneer het filmpje 2 maal bekeken wordt. </w:t>
            </w:r>
          </w:p>
        </w:tc>
        <w:tc>
          <w:tcPr>
            <w:tcW w:w="4252" w:type="dxa"/>
          </w:tcPr>
          <w:p w14:paraId="214339CA" w14:textId="016E67B5" w:rsidR="00426575" w:rsidRDefault="00426575" w:rsidP="00426575">
            <w:r>
              <w:lastRenderedPageBreak/>
              <w:t xml:space="preserve">Instap, begin de les met het kijken naar </w:t>
            </w:r>
            <w:r w:rsidR="00323AE1">
              <w:t xml:space="preserve"> het filmpje van </w:t>
            </w:r>
            <w:r w:rsidR="00EE3A34">
              <w:t>‘</w:t>
            </w:r>
            <w:r w:rsidR="00323AE1">
              <w:t xml:space="preserve">in a </w:t>
            </w:r>
            <w:proofErr w:type="spellStart"/>
            <w:r w:rsidR="00323AE1">
              <w:t>heartbeat</w:t>
            </w:r>
            <w:proofErr w:type="spellEnd"/>
            <w:r w:rsidR="00EE3A34">
              <w:t xml:space="preserve">’ en bespreek deze na. </w:t>
            </w:r>
            <w:r w:rsidR="003919D7">
              <w:t>Kijk vervolgens naar</w:t>
            </w:r>
            <w:r w:rsidR="00323AE1">
              <w:t xml:space="preserve"> </w:t>
            </w:r>
            <w:r>
              <w:t xml:space="preserve">de slide met het programma. Hierna maak je de overstap naar de begrippen en uitleg behorend bij </w:t>
            </w:r>
            <w:r>
              <w:lastRenderedPageBreak/>
              <w:t xml:space="preserve">LHBTQIA+. Je kan studenten vragen of ze weten wat de begrippen inhouden, en indien gewenst vragen of ze mensen kennen die zich tot een van deze ‘categorieën’ verhouden. </w:t>
            </w:r>
          </w:p>
          <w:p w14:paraId="07FC0004" w14:textId="54F6F5DE" w:rsidR="00BF65D8" w:rsidRPr="00BF65D8" w:rsidRDefault="00BF65D8" w:rsidP="00751B19">
            <w:pPr>
              <w:rPr>
                <w:color w:val="FF0000"/>
              </w:rPr>
            </w:pPr>
          </w:p>
        </w:tc>
        <w:tc>
          <w:tcPr>
            <w:tcW w:w="2784" w:type="dxa"/>
          </w:tcPr>
          <w:p w14:paraId="391AB8C8" w14:textId="4A920D6A" w:rsidR="00BF65D8" w:rsidRPr="00BF65D8" w:rsidRDefault="00BF65D8" w:rsidP="00751B19">
            <w:pPr>
              <w:rPr>
                <w:color w:val="FF0000"/>
              </w:rPr>
            </w:pPr>
          </w:p>
          <w:p w14:paraId="512F9849" w14:textId="77777777" w:rsidR="00BF65D8" w:rsidRPr="00BF65D8" w:rsidRDefault="00BF65D8" w:rsidP="00751B19">
            <w:pPr>
              <w:rPr>
                <w:color w:val="FF0000"/>
              </w:rPr>
            </w:pPr>
          </w:p>
        </w:tc>
      </w:tr>
      <w:tr w:rsidR="00BF65D8" w:rsidRPr="00760043" w14:paraId="1287AEE2" w14:textId="77777777" w:rsidTr="000163A9">
        <w:tc>
          <w:tcPr>
            <w:tcW w:w="1980" w:type="dxa"/>
          </w:tcPr>
          <w:p w14:paraId="480BAA28" w14:textId="0AB0FCDB" w:rsidR="00BF65D8" w:rsidRPr="000163A9" w:rsidRDefault="00BF65D8" w:rsidP="00751B19">
            <w:pPr>
              <w:rPr>
                <w:b/>
                <w:bCs/>
              </w:rPr>
            </w:pPr>
            <w:proofErr w:type="spellStart"/>
            <w:r w:rsidRPr="000163A9">
              <w:rPr>
                <w:b/>
                <w:bCs/>
              </w:rPr>
              <w:t>Lesfase</w:t>
            </w:r>
            <w:proofErr w:type="spellEnd"/>
            <w:r w:rsidRPr="000163A9">
              <w:rPr>
                <w:b/>
                <w:bCs/>
              </w:rPr>
              <w:t xml:space="preserve"> 2 (10 min)</w:t>
            </w:r>
          </w:p>
        </w:tc>
        <w:tc>
          <w:tcPr>
            <w:tcW w:w="4252" w:type="dxa"/>
          </w:tcPr>
          <w:p w14:paraId="10226D7D" w14:textId="0D996218" w:rsidR="003321D7" w:rsidRDefault="003321D7" w:rsidP="003321D7">
            <w:r w:rsidRPr="009543D9">
              <w:t xml:space="preserve">Zodra de concepten duidelijk zijn, wordt de overstap gemaakt naar ervaringen op straat. Bekijk de video en probeer met leerlingen/studenten een dialoog aan te gaan over de reacties van mensen op LHBTQIA+. Hierna kan de overgang worden gemaakt naar de online omgeving. Vraag leerlingen of ze dit herkennen, hebben ze zelf wel eens </w:t>
            </w:r>
            <w:proofErr w:type="spellStart"/>
            <w:r w:rsidRPr="009543D9">
              <w:t>negativiteit</w:t>
            </w:r>
            <w:proofErr w:type="spellEnd"/>
            <w:r w:rsidRPr="009543D9">
              <w:t xml:space="preserve"> ten opzichte van L</w:t>
            </w:r>
            <w:r w:rsidR="007E34C8">
              <w:t>H</w:t>
            </w:r>
            <w:r w:rsidRPr="009543D9">
              <w:t xml:space="preserve">BTQIA+ mensen gezien? Vervolgens kunnen cijfers worden getoond over de toename van intolerantie op </w:t>
            </w:r>
            <w:proofErr w:type="spellStart"/>
            <w:r w:rsidRPr="009543D9">
              <w:t>Youtube</w:t>
            </w:r>
            <w:proofErr w:type="spellEnd"/>
            <w:r w:rsidRPr="009543D9">
              <w:t xml:space="preserve"> en Instagram. </w:t>
            </w:r>
          </w:p>
          <w:p w14:paraId="028BA6D0" w14:textId="485C1870" w:rsidR="00BF65D8" w:rsidRPr="00BF65D8" w:rsidRDefault="00BF65D8" w:rsidP="00751B19">
            <w:pPr>
              <w:rPr>
                <w:color w:val="FF0000"/>
              </w:rPr>
            </w:pPr>
          </w:p>
        </w:tc>
        <w:tc>
          <w:tcPr>
            <w:tcW w:w="2784" w:type="dxa"/>
          </w:tcPr>
          <w:p w14:paraId="474A901E" w14:textId="2585FECC" w:rsidR="00BF65D8" w:rsidRPr="000163A9" w:rsidRDefault="00913AC8" w:rsidP="004357BC">
            <w:r w:rsidRPr="00644064">
              <w:t>Differentiatie</w:t>
            </w:r>
            <w:r w:rsidR="004357BC" w:rsidRPr="000163A9">
              <w:t xml:space="preserve">: het kan zijn dat vragen over persoonlijke ervaringen in jouw klas gevoelig liggen. </w:t>
            </w:r>
            <w:r w:rsidR="00BE3AE7" w:rsidRPr="000163A9">
              <w:t xml:space="preserve">Probeer </w:t>
            </w:r>
            <w:r w:rsidR="00FD076A" w:rsidRPr="000163A9">
              <w:t xml:space="preserve">je vragen hierop aan te passen. </w:t>
            </w:r>
            <w:r w:rsidR="00BE3AE7" w:rsidRPr="000163A9">
              <w:t xml:space="preserve"> </w:t>
            </w:r>
          </w:p>
        </w:tc>
      </w:tr>
      <w:tr w:rsidR="00BF65D8" w:rsidRPr="00760043" w14:paraId="5793DCE5" w14:textId="77777777" w:rsidTr="000163A9">
        <w:tc>
          <w:tcPr>
            <w:tcW w:w="1980" w:type="dxa"/>
          </w:tcPr>
          <w:p w14:paraId="7A4CE1B9" w14:textId="3420DBF4" w:rsidR="00BF65D8" w:rsidRPr="000163A9" w:rsidRDefault="00BF65D8" w:rsidP="00751B19">
            <w:pPr>
              <w:rPr>
                <w:b/>
                <w:bCs/>
              </w:rPr>
            </w:pPr>
            <w:r w:rsidRPr="000163A9">
              <w:rPr>
                <w:b/>
                <w:bCs/>
              </w:rPr>
              <w:t>Lesfase 3 (1</w:t>
            </w:r>
            <w:r w:rsidR="00676BA7" w:rsidRPr="000163A9">
              <w:rPr>
                <w:b/>
                <w:bCs/>
              </w:rPr>
              <w:t>5</w:t>
            </w:r>
            <w:r w:rsidRPr="000163A9">
              <w:rPr>
                <w:b/>
                <w:bCs/>
              </w:rPr>
              <w:t xml:space="preserve"> min)</w:t>
            </w:r>
          </w:p>
        </w:tc>
        <w:tc>
          <w:tcPr>
            <w:tcW w:w="4252" w:type="dxa"/>
          </w:tcPr>
          <w:p w14:paraId="2BACB613" w14:textId="02A458F1" w:rsidR="00676BA7" w:rsidRPr="00926936" w:rsidRDefault="00161EBC" w:rsidP="00676BA7">
            <w:r w:rsidRPr="00161EBC">
              <w:t xml:space="preserve">Hierna kan de overgang worden gemaakt naar de verschillende casussen. </w:t>
            </w:r>
            <w:r w:rsidR="00676BA7" w:rsidRPr="009543D9">
              <w:t xml:space="preserve">Het idee is dat leerlingen/studenten zich proberen in te leven in de situaties die leeftijdsgenoten online meemaken. Ze mogen als </w:t>
            </w:r>
            <w:r>
              <w:t>‘adviseurs’</w:t>
            </w:r>
            <w:r w:rsidR="00676BA7" w:rsidRPr="009543D9">
              <w:t xml:space="preserve"> meedenken en advies geven. Dit doen ze aan de hand van deze 3 (</w:t>
            </w:r>
            <w:r w:rsidR="00676BA7" w:rsidRPr="00926936">
              <w:t>waargebeurde) casussen:</w:t>
            </w:r>
          </w:p>
          <w:p w14:paraId="2F69DF83" w14:textId="77777777" w:rsidR="00926936" w:rsidRPr="00926936" w:rsidRDefault="00926936" w:rsidP="00926936">
            <w:pPr>
              <w:pStyle w:val="Lijstalinea"/>
              <w:numPr>
                <w:ilvl w:val="0"/>
                <w:numId w:val="5"/>
              </w:numPr>
            </w:pPr>
            <w:r w:rsidRPr="00926936">
              <w:t xml:space="preserve">Wat zou jij willen zeggen tegen de mensen die online negatief reageren op </w:t>
            </w:r>
            <w:proofErr w:type="spellStart"/>
            <w:r w:rsidRPr="00926936">
              <w:t>Rikkie</w:t>
            </w:r>
            <w:proofErr w:type="spellEnd"/>
            <w:r w:rsidRPr="00926936">
              <w:t>?</w:t>
            </w:r>
          </w:p>
          <w:p w14:paraId="0BB06375" w14:textId="77777777" w:rsidR="00926936" w:rsidRPr="00926936" w:rsidRDefault="00926936" w:rsidP="00926936">
            <w:pPr>
              <w:pStyle w:val="Lijstalinea"/>
              <w:numPr>
                <w:ilvl w:val="0"/>
                <w:numId w:val="5"/>
              </w:numPr>
            </w:pPr>
            <w:r w:rsidRPr="00926936">
              <w:t>Wat zou jij als inwoner van Kollum tegen je medebewoners willen zeggen?</w:t>
            </w:r>
          </w:p>
          <w:p w14:paraId="08E44232" w14:textId="77777777" w:rsidR="00926936" w:rsidRPr="00926936" w:rsidRDefault="00926936" w:rsidP="00926936">
            <w:pPr>
              <w:pStyle w:val="Lijstalinea"/>
              <w:numPr>
                <w:ilvl w:val="0"/>
                <w:numId w:val="5"/>
              </w:numPr>
            </w:pPr>
            <w:r w:rsidRPr="00926936">
              <w:t xml:space="preserve">Wat zou jij als vriendin van Sanne tegen haar schoolgenoten willen zeggen? </w:t>
            </w:r>
          </w:p>
          <w:p w14:paraId="37CC1E9A" w14:textId="77777777" w:rsidR="00926936" w:rsidRPr="00926936" w:rsidRDefault="00926936" w:rsidP="00926936">
            <w:pPr>
              <w:pStyle w:val="Lijstalinea"/>
              <w:numPr>
                <w:ilvl w:val="0"/>
                <w:numId w:val="8"/>
              </w:numPr>
            </w:pPr>
            <w:r w:rsidRPr="00926936">
              <w:t>Hoe is dit voor de jongeren die dit meemaken?</w:t>
            </w:r>
          </w:p>
          <w:p w14:paraId="16EE08BF" w14:textId="77777777" w:rsidR="00926936" w:rsidRDefault="00926936" w:rsidP="00676BA7"/>
          <w:p w14:paraId="30772E4C" w14:textId="24F17BCF" w:rsidR="00676BA7" w:rsidRDefault="00805E68" w:rsidP="00676BA7">
            <w:r>
              <w:t>B</w:t>
            </w:r>
            <w:r w:rsidR="00676BA7">
              <w:t xml:space="preserve">espreek je de casussen klassikaal na. </w:t>
            </w:r>
          </w:p>
          <w:p w14:paraId="7495E33F" w14:textId="77A96061" w:rsidR="00BF65D8" w:rsidRPr="00BF65D8" w:rsidRDefault="00BF65D8" w:rsidP="00751B19">
            <w:pPr>
              <w:rPr>
                <w:color w:val="FF0000"/>
              </w:rPr>
            </w:pPr>
          </w:p>
        </w:tc>
        <w:tc>
          <w:tcPr>
            <w:tcW w:w="2784" w:type="dxa"/>
          </w:tcPr>
          <w:p w14:paraId="6CC312BA" w14:textId="6D807C43" w:rsidR="00644064" w:rsidRPr="00644064" w:rsidRDefault="00FD076A" w:rsidP="00644064">
            <w:r w:rsidRPr="00644064">
              <w:t>Differentiatie:</w:t>
            </w:r>
            <w:r w:rsidR="00644064" w:rsidRPr="00644064">
              <w:t xml:space="preserve"> deze opdracht vindt relatief vroeg in de les plaats. Deze keuze is gemaakt om te voorkomen dat de klassikale bespreking te lang achter elkaar duurt. </w:t>
            </w:r>
          </w:p>
          <w:p w14:paraId="14143EA4" w14:textId="77777777" w:rsidR="006F4148" w:rsidRDefault="00644064" w:rsidP="00644064">
            <w:r w:rsidRPr="00644064">
              <w:t>Denk je dat het voor jouw groep beter werkt om de opdracht aan het einde van de les te doen? Dan k</w:t>
            </w:r>
            <w:r w:rsidR="00805E68">
              <w:t>a</w:t>
            </w:r>
            <w:r w:rsidRPr="00644064">
              <w:t>n je de dia eenvoudig verplaatsen.</w:t>
            </w:r>
          </w:p>
          <w:p w14:paraId="7866BCE6" w14:textId="77777777" w:rsidR="00C36452" w:rsidRDefault="00C36452" w:rsidP="00644064"/>
          <w:p w14:paraId="1869CF13" w14:textId="77777777" w:rsidR="00C36452" w:rsidRDefault="00C36452" w:rsidP="00C36452">
            <w:r w:rsidRPr="00C36452">
              <w:t xml:space="preserve">Daarnaast kan ervoor gekozen worden om de casussen aan te passen, zodat studenten zich moeten inleven in de ervaringen van de hoofdpersonen in de casussen. </w:t>
            </w:r>
          </w:p>
          <w:p w14:paraId="2CCB434E" w14:textId="77777777" w:rsidR="00AD20BC" w:rsidRDefault="00AD20BC" w:rsidP="00C36452"/>
          <w:p w14:paraId="4FA2575D" w14:textId="16634FB2" w:rsidR="00AD20BC" w:rsidRPr="00C36452" w:rsidRDefault="00AD20BC" w:rsidP="00C36452">
            <w:r>
              <w:t xml:space="preserve">Optioneel: </w:t>
            </w:r>
            <w:r w:rsidR="00BE3CC6" w:rsidRPr="00BE3CC6">
              <w:t xml:space="preserve">Dia 13 geeft een indruk van hoe Rob </w:t>
            </w:r>
            <w:proofErr w:type="spellStart"/>
            <w:r w:rsidR="00BE3CC6" w:rsidRPr="00BE3CC6">
              <w:t>Jetten</w:t>
            </w:r>
            <w:proofErr w:type="spellEnd"/>
            <w:r w:rsidR="00BE3CC6" w:rsidRPr="00BE3CC6">
              <w:t xml:space="preserve"> wordt geconfronteerd met online haat. Er staan heftige woorden in, dus beslis zelf of dit geschikt is voor de doelgroep.</w:t>
            </w:r>
          </w:p>
          <w:p w14:paraId="353BF0DB" w14:textId="096FFF1B" w:rsidR="00C36452" w:rsidRPr="00BF65D8" w:rsidRDefault="00C36452" w:rsidP="00644064">
            <w:pPr>
              <w:rPr>
                <w:color w:val="FF0000"/>
              </w:rPr>
            </w:pPr>
          </w:p>
        </w:tc>
      </w:tr>
      <w:tr w:rsidR="00BF65D8" w:rsidRPr="00760043" w14:paraId="51A14A5A" w14:textId="77777777" w:rsidTr="000163A9">
        <w:tc>
          <w:tcPr>
            <w:tcW w:w="1980" w:type="dxa"/>
          </w:tcPr>
          <w:p w14:paraId="5E8E2723" w14:textId="77777777" w:rsidR="00BF65D8" w:rsidRPr="00760043" w:rsidRDefault="00BF65D8" w:rsidP="00751B19">
            <w:r w:rsidRPr="000163A9">
              <w:rPr>
                <w:b/>
                <w:bCs/>
              </w:rPr>
              <w:lastRenderedPageBreak/>
              <w:t>Lesfase 4 (10 min)</w:t>
            </w:r>
          </w:p>
        </w:tc>
        <w:tc>
          <w:tcPr>
            <w:tcW w:w="4252" w:type="dxa"/>
          </w:tcPr>
          <w:p w14:paraId="75888788" w14:textId="4EB3CE22" w:rsidR="006D1573" w:rsidRPr="00C36452" w:rsidRDefault="006D1573" w:rsidP="006D1573">
            <w:r w:rsidRPr="00C36452">
              <w:t xml:space="preserve">Na het doornemen van de casussen kan de overgang worden gemaakt naar haatuitingen tegen LHBTQIA+ mensen door de geschiedenis heen. Noem hier de zware straffen die in 1730 werden gegeven voor sodomie (meer informatie in de aantekeningen bij de PowerPoint). Laat vervolgens de video zien over de veroordeling van LHBTQIA+ mensen tijdens de Tweede Wereldoorlog en bespreek deze na (zie PowerPoint notities). </w:t>
            </w:r>
            <w:r w:rsidR="006A3D77" w:rsidRPr="00C36452">
              <w:t xml:space="preserve">In tegenstelling tot de Tweede Wereldoorlog is het op dit moment illegaal </w:t>
            </w:r>
            <w:r w:rsidRPr="00C36452">
              <w:t xml:space="preserve">(en strafbaar) in Nederland om haatuitingen online te plaatsen. Leg uit wat de gevolgen kunnen zijn als dit toch gebeurt. Bespreek daarna wat je zelf kunt doen om de online omgeving voor iedereen aantrekkelijk en veilig te maken. </w:t>
            </w:r>
          </w:p>
          <w:p w14:paraId="0E8063C7" w14:textId="52DB714C" w:rsidR="00BF65D8" w:rsidRPr="00C36452" w:rsidRDefault="00BF65D8" w:rsidP="00751B19"/>
        </w:tc>
        <w:tc>
          <w:tcPr>
            <w:tcW w:w="2784" w:type="dxa"/>
          </w:tcPr>
          <w:p w14:paraId="1096A538" w14:textId="77777777" w:rsidR="00BF65D8" w:rsidRPr="00C36452" w:rsidRDefault="005076F2" w:rsidP="00751B19">
            <w:r w:rsidRPr="00C36452">
              <w:t xml:space="preserve">Differentiatie: afhankelijk van de groep kan hier ook worden ingegaan op de ervaring van leerlingen/studenten met dit onderwerp. Veel studenten/leerlingen weten niet dat online haatzaaien strafbaar is, dus het is </w:t>
            </w:r>
            <w:r w:rsidR="0023490A" w:rsidRPr="00C36452">
              <w:t>relevant</w:t>
            </w:r>
            <w:r w:rsidRPr="00C36452">
              <w:t xml:space="preserve"> om dit aan te stippen.</w:t>
            </w:r>
          </w:p>
          <w:p w14:paraId="6D8EA3FE" w14:textId="77777777" w:rsidR="00250F0B" w:rsidRPr="00C36452" w:rsidRDefault="00250F0B" w:rsidP="00751B19"/>
          <w:p w14:paraId="6E8078A5" w14:textId="10B7204F" w:rsidR="00C36452" w:rsidRPr="00C36452" w:rsidRDefault="00C36452" w:rsidP="00C36452"/>
        </w:tc>
      </w:tr>
      <w:tr w:rsidR="00BF65D8" w:rsidRPr="00760043" w14:paraId="50FDF7A4" w14:textId="77777777" w:rsidTr="000163A9">
        <w:tc>
          <w:tcPr>
            <w:tcW w:w="1980" w:type="dxa"/>
          </w:tcPr>
          <w:p w14:paraId="33AE34A4" w14:textId="4F34D97E" w:rsidR="00BF65D8" w:rsidRPr="000163A9" w:rsidRDefault="00BF65D8" w:rsidP="00751B19">
            <w:pPr>
              <w:rPr>
                <w:b/>
                <w:bCs/>
              </w:rPr>
            </w:pPr>
            <w:r w:rsidRPr="000163A9">
              <w:rPr>
                <w:b/>
                <w:bCs/>
              </w:rPr>
              <w:t>Lesfase 5 (1</w:t>
            </w:r>
            <w:r w:rsidR="001A72E6">
              <w:rPr>
                <w:b/>
                <w:bCs/>
              </w:rPr>
              <w:t>0</w:t>
            </w:r>
            <w:r w:rsidRPr="000163A9">
              <w:rPr>
                <w:b/>
                <w:bCs/>
              </w:rPr>
              <w:t xml:space="preserve"> min)</w:t>
            </w:r>
          </w:p>
        </w:tc>
        <w:tc>
          <w:tcPr>
            <w:tcW w:w="4252" w:type="dxa"/>
          </w:tcPr>
          <w:p w14:paraId="0866511F" w14:textId="77777777" w:rsidR="00F27629" w:rsidRDefault="00F27629" w:rsidP="00F27629">
            <w:r>
              <w:t xml:space="preserve">Om de les af te ronden, zijn er twee dia's met afsluitende vragen. De eerste dia kan je klassikaal bespreken. Om een goed idee te krijgen van wat leerlingen/studenten hebben geleerd van deze les, is het genereren van een 'Word Cloud' nuttig. Deze kan ook worden opgeslagen zodat er tijdens latere lessen naar kan worden verwezen als dat gewenst is. </w:t>
            </w:r>
          </w:p>
          <w:p w14:paraId="288350B4" w14:textId="3574733D" w:rsidR="00BF65D8" w:rsidRPr="00BF65D8" w:rsidRDefault="00BF65D8" w:rsidP="00751B19">
            <w:pPr>
              <w:rPr>
                <w:color w:val="FF0000"/>
              </w:rPr>
            </w:pPr>
          </w:p>
        </w:tc>
        <w:tc>
          <w:tcPr>
            <w:tcW w:w="2784" w:type="dxa"/>
          </w:tcPr>
          <w:p w14:paraId="13A64972" w14:textId="77777777" w:rsidR="00F27629" w:rsidRDefault="00F27629" w:rsidP="00F27629">
            <w:r>
              <w:t>Het is belangrijk om aan te geven dat er (indien mogelijk) ook ruimte is voor individuele bespreking of vragen over dit onderwerp.</w:t>
            </w:r>
          </w:p>
          <w:p w14:paraId="50BBD598" w14:textId="77777777" w:rsidR="00AD2376" w:rsidRPr="00BF65D8" w:rsidRDefault="00AD2376" w:rsidP="00751B19">
            <w:pPr>
              <w:rPr>
                <w:color w:val="FF0000"/>
              </w:rPr>
            </w:pPr>
          </w:p>
        </w:tc>
      </w:tr>
      <w:bookmarkEnd w:id="0"/>
    </w:tbl>
    <w:p w14:paraId="47B28CE5" w14:textId="77777777" w:rsidR="00BF65D8" w:rsidRPr="00760043" w:rsidRDefault="00BF65D8" w:rsidP="00BF65D8">
      <w:pPr>
        <w:spacing w:after="0"/>
      </w:pPr>
    </w:p>
    <w:p w14:paraId="27D4163E" w14:textId="77777777" w:rsidR="00BF65D8" w:rsidRDefault="00BF65D8" w:rsidP="00BF65D8"/>
    <w:p w14:paraId="511B2A38" w14:textId="77777777" w:rsidR="00F43987" w:rsidRDefault="00F43987"/>
    <w:sectPr w:rsidR="00F43987" w:rsidSect="00BF6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3AF"/>
    <w:multiLevelType w:val="hybridMultilevel"/>
    <w:tmpl w:val="9DC66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3B71C1"/>
    <w:multiLevelType w:val="hybridMultilevel"/>
    <w:tmpl w:val="7CE033BC"/>
    <w:lvl w:ilvl="0" w:tplc="3DDE01AE">
      <w:start w:val="1"/>
      <w:numFmt w:val="decimal"/>
      <w:lvlText w:val="%1."/>
      <w:lvlJc w:val="left"/>
      <w:pPr>
        <w:tabs>
          <w:tab w:val="num" w:pos="720"/>
        </w:tabs>
        <w:ind w:left="720" w:hanging="360"/>
      </w:pPr>
    </w:lvl>
    <w:lvl w:ilvl="1" w:tplc="B2DAD354" w:tentative="1">
      <w:start w:val="1"/>
      <w:numFmt w:val="decimal"/>
      <w:lvlText w:val="%2."/>
      <w:lvlJc w:val="left"/>
      <w:pPr>
        <w:tabs>
          <w:tab w:val="num" w:pos="1440"/>
        </w:tabs>
        <w:ind w:left="1440" w:hanging="360"/>
      </w:pPr>
    </w:lvl>
    <w:lvl w:ilvl="2" w:tplc="F1CEF98C" w:tentative="1">
      <w:start w:val="1"/>
      <w:numFmt w:val="decimal"/>
      <w:lvlText w:val="%3."/>
      <w:lvlJc w:val="left"/>
      <w:pPr>
        <w:tabs>
          <w:tab w:val="num" w:pos="2160"/>
        </w:tabs>
        <w:ind w:left="2160" w:hanging="360"/>
      </w:pPr>
    </w:lvl>
    <w:lvl w:ilvl="3" w:tplc="3514D2FE" w:tentative="1">
      <w:start w:val="1"/>
      <w:numFmt w:val="decimal"/>
      <w:lvlText w:val="%4."/>
      <w:lvlJc w:val="left"/>
      <w:pPr>
        <w:tabs>
          <w:tab w:val="num" w:pos="2880"/>
        </w:tabs>
        <w:ind w:left="2880" w:hanging="360"/>
      </w:pPr>
    </w:lvl>
    <w:lvl w:ilvl="4" w:tplc="DEB8B7D2" w:tentative="1">
      <w:start w:val="1"/>
      <w:numFmt w:val="decimal"/>
      <w:lvlText w:val="%5."/>
      <w:lvlJc w:val="left"/>
      <w:pPr>
        <w:tabs>
          <w:tab w:val="num" w:pos="3600"/>
        </w:tabs>
        <w:ind w:left="3600" w:hanging="360"/>
      </w:pPr>
    </w:lvl>
    <w:lvl w:ilvl="5" w:tplc="6818FFC8" w:tentative="1">
      <w:start w:val="1"/>
      <w:numFmt w:val="decimal"/>
      <w:lvlText w:val="%6."/>
      <w:lvlJc w:val="left"/>
      <w:pPr>
        <w:tabs>
          <w:tab w:val="num" w:pos="4320"/>
        </w:tabs>
        <w:ind w:left="4320" w:hanging="360"/>
      </w:pPr>
    </w:lvl>
    <w:lvl w:ilvl="6" w:tplc="2B00E6FC" w:tentative="1">
      <w:start w:val="1"/>
      <w:numFmt w:val="decimal"/>
      <w:lvlText w:val="%7."/>
      <w:lvlJc w:val="left"/>
      <w:pPr>
        <w:tabs>
          <w:tab w:val="num" w:pos="5040"/>
        </w:tabs>
        <w:ind w:left="5040" w:hanging="360"/>
      </w:pPr>
    </w:lvl>
    <w:lvl w:ilvl="7" w:tplc="077A5112" w:tentative="1">
      <w:start w:val="1"/>
      <w:numFmt w:val="decimal"/>
      <w:lvlText w:val="%8."/>
      <w:lvlJc w:val="left"/>
      <w:pPr>
        <w:tabs>
          <w:tab w:val="num" w:pos="5760"/>
        </w:tabs>
        <w:ind w:left="5760" w:hanging="360"/>
      </w:pPr>
    </w:lvl>
    <w:lvl w:ilvl="8" w:tplc="9A02E5BC" w:tentative="1">
      <w:start w:val="1"/>
      <w:numFmt w:val="decimal"/>
      <w:lvlText w:val="%9."/>
      <w:lvlJc w:val="left"/>
      <w:pPr>
        <w:tabs>
          <w:tab w:val="num" w:pos="6480"/>
        </w:tabs>
        <w:ind w:left="6480" w:hanging="360"/>
      </w:pPr>
    </w:lvl>
  </w:abstractNum>
  <w:abstractNum w:abstractNumId="2" w15:restartNumberingAfterBreak="0">
    <w:nsid w:val="2152797A"/>
    <w:multiLevelType w:val="hybridMultilevel"/>
    <w:tmpl w:val="BB0AEA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B97AC9"/>
    <w:multiLevelType w:val="hybridMultilevel"/>
    <w:tmpl w:val="9898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231B62"/>
    <w:multiLevelType w:val="hybridMultilevel"/>
    <w:tmpl w:val="8D64B1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7BF7E26"/>
    <w:multiLevelType w:val="hybridMultilevel"/>
    <w:tmpl w:val="96F4781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BC28B6"/>
    <w:multiLevelType w:val="hybridMultilevel"/>
    <w:tmpl w:val="31BC7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8D1BEF"/>
    <w:multiLevelType w:val="hybridMultilevel"/>
    <w:tmpl w:val="C92413B4"/>
    <w:lvl w:ilvl="0" w:tplc="62720AD6">
      <w:start w:val="1"/>
      <w:numFmt w:val="decimal"/>
      <w:lvlText w:val="%1."/>
      <w:lvlJc w:val="left"/>
      <w:pPr>
        <w:tabs>
          <w:tab w:val="num" w:pos="720"/>
        </w:tabs>
        <w:ind w:left="720" w:hanging="360"/>
      </w:pPr>
    </w:lvl>
    <w:lvl w:ilvl="1" w:tplc="1B7603E8" w:tentative="1">
      <w:start w:val="1"/>
      <w:numFmt w:val="decimal"/>
      <w:lvlText w:val="%2."/>
      <w:lvlJc w:val="left"/>
      <w:pPr>
        <w:tabs>
          <w:tab w:val="num" w:pos="1440"/>
        </w:tabs>
        <w:ind w:left="1440" w:hanging="360"/>
      </w:pPr>
    </w:lvl>
    <w:lvl w:ilvl="2" w:tplc="4C527DEC" w:tentative="1">
      <w:start w:val="1"/>
      <w:numFmt w:val="decimal"/>
      <w:lvlText w:val="%3."/>
      <w:lvlJc w:val="left"/>
      <w:pPr>
        <w:tabs>
          <w:tab w:val="num" w:pos="2160"/>
        </w:tabs>
        <w:ind w:left="2160" w:hanging="360"/>
      </w:pPr>
    </w:lvl>
    <w:lvl w:ilvl="3" w:tplc="4978CED2" w:tentative="1">
      <w:start w:val="1"/>
      <w:numFmt w:val="decimal"/>
      <w:lvlText w:val="%4."/>
      <w:lvlJc w:val="left"/>
      <w:pPr>
        <w:tabs>
          <w:tab w:val="num" w:pos="2880"/>
        </w:tabs>
        <w:ind w:left="2880" w:hanging="360"/>
      </w:pPr>
    </w:lvl>
    <w:lvl w:ilvl="4" w:tplc="03820BD2" w:tentative="1">
      <w:start w:val="1"/>
      <w:numFmt w:val="decimal"/>
      <w:lvlText w:val="%5."/>
      <w:lvlJc w:val="left"/>
      <w:pPr>
        <w:tabs>
          <w:tab w:val="num" w:pos="3600"/>
        </w:tabs>
        <w:ind w:left="3600" w:hanging="360"/>
      </w:pPr>
    </w:lvl>
    <w:lvl w:ilvl="5" w:tplc="B134B9A8" w:tentative="1">
      <w:start w:val="1"/>
      <w:numFmt w:val="decimal"/>
      <w:lvlText w:val="%6."/>
      <w:lvlJc w:val="left"/>
      <w:pPr>
        <w:tabs>
          <w:tab w:val="num" w:pos="4320"/>
        </w:tabs>
        <w:ind w:left="4320" w:hanging="360"/>
      </w:pPr>
    </w:lvl>
    <w:lvl w:ilvl="6" w:tplc="013C9676" w:tentative="1">
      <w:start w:val="1"/>
      <w:numFmt w:val="decimal"/>
      <w:lvlText w:val="%7."/>
      <w:lvlJc w:val="left"/>
      <w:pPr>
        <w:tabs>
          <w:tab w:val="num" w:pos="5040"/>
        </w:tabs>
        <w:ind w:left="5040" w:hanging="360"/>
      </w:pPr>
    </w:lvl>
    <w:lvl w:ilvl="7" w:tplc="D01A2824" w:tentative="1">
      <w:start w:val="1"/>
      <w:numFmt w:val="decimal"/>
      <w:lvlText w:val="%8."/>
      <w:lvlJc w:val="left"/>
      <w:pPr>
        <w:tabs>
          <w:tab w:val="num" w:pos="5760"/>
        </w:tabs>
        <w:ind w:left="5760" w:hanging="360"/>
      </w:pPr>
    </w:lvl>
    <w:lvl w:ilvl="8" w:tplc="6A3CF66A" w:tentative="1">
      <w:start w:val="1"/>
      <w:numFmt w:val="decimal"/>
      <w:lvlText w:val="%9."/>
      <w:lvlJc w:val="left"/>
      <w:pPr>
        <w:tabs>
          <w:tab w:val="num" w:pos="6480"/>
        </w:tabs>
        <w:ind w:left="6480" w:hanging="360"/>
      </w:pPr>
    </w:lvl>
  </w:abstractNum>
  <w:num w:numId="1" w16cid:durableId="1793674501">
    <w:abstractNumId w:val="3"/>
  </w:num>
  <w:num w:numId="2" w16cid:durableId="212694259">
    <w:abstractNumId w:val="6"/>
  </w:num>
  <w:num w:numId="3" w16cid:durableId="738788795">
    <w:abstractNumId w:val="1"/>
  </w:num>
  <w:num w:numId="4" w16cid:durableId="340739280">
    <w:abstractNumId w:val="5"/>
  </w:num>
  <w:num w:numId="5" w16cid:durableId="1448965436">
    <w:abstractNumId w:val="2"/>
  </w:num>
  <w:num w:numId="6" w16cid:durableId="43875850">
    <w:abstractNumId w:val="7"/>
  </w:num>
  <w:num w:numId="7" w16cid:durableId="1722242671">
    <w:abstractNumId w:val="4"/>
  </w:num>
  <w:num w:numId="8" w16cid:durableId="190660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D8"/>
    <w:rsid w:val="000163A9"/>
    <w:rsid w:val="00024EC1"/>
    <w:rsid w:val="000F1894"/>
    <w:rsid w:val="00105174"/>
    <w:rsid w:val="00161EBC"/>
    <w:rsid w:val="001A72E6"/>
    <w:rsid w:val="001E7718"/>
    <w:rsid w:val="00215878"/>
    <w:rsid w:val="0023490A"/>
    <w:rsid w:val="00236207"/>
    <w:rsid w:val="00250F0B"/>
    <w:rsid w:val="00323AE1"/>
    <w:rsid w:val="003321D7"/>
    <w:rsid w:val="00366194"/>
    <w:rsid w:val="00377145"/>
    <w:rsid w:val="003801E3"/>
    <w:rsid w:val="003919D7"/>
    <w:rsid w:val="003C531C"/>
    <w:rsid w:val="00413BE9"/>
    <w:rsid w:val="00426575"/>
    <w:rsid w:val="004357BC"/>
    <w:rsid w:val="004A37D2"/>
    <w:rsid w:val="005076F2"/>
    <w:rsid w:val="005E4335"/>
    <w:rsid w:val="00644064"/>
    <w:rsid w:val="00676BA7"/>
    <w:rsid w:val="006A3D77"/>
    <w:rsid w:val="006C4BD8"/>
    <w:rsid w:val="006D1573"/>
    <w:rsid w:val="006D4571"/>
    <w:rsid w:val="006F4148"/>
    <w:rsid w:val="006F4A3C"/>
    <w:rsid w:val="007D5FA3"/>
    <w:rsid w:val="007E34C8"/>
    <w:rsid w:val="00805E68"/>
    <w:rsid w:val="008D75A0"/>
    <w:rsid w:val="00913AC8"/>
    <w:rsid w:val="00926936"/>
    <w:rsid w:val="00A1428A"/>
    <w:rsid w:val="00A46C88"/>
    <w:rsid w:val="00AD20BC"/>
    <w:rsid w:val="00AD2376"/>
    <w:rsid w:val="00AF429B"/>
    <w:rsid w:val="00B23EFD"/>
    <w:rsid w:val="00BE3AE7"/>
    <w:rsid w:val="00BE3CC6"/>
    <w:rsid w:val="00BF65D8"/>
    <w:rsid w:val="00C03589"/>
    <w:rsid w:val="00C36452"/>
    <w:rsid w:val="00C816FF"/>
    <w:rsid w:val="00CE6393"/>
    <w:rsid w:val="00D335D2"/>
    <w:rsid w:val="00EC0174"/>
    <w:rsid w:val="00EE3A34"/>
    <w:rsid w:val="00F27629"/>
    <w:rsid w:val="00F43987"/>
    <w:rsid w:val="00F77032"/>
    <w:rsid w:val="00FD0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FD73"/>
  <w15:chartTrackingRefBased/>
  <w15:docId w15:val="{64AE0ADE-4137-40FC-B4FB-7CFE7A0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5D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F65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F65D8"/>
    <w:rPr>
      <w:color w:val="0000FF"/>
      <w:u w:val="single"/>
    </w:rPr>
  </w:style>
  <w:style w:type="character" w:styleId="Onopgelostemelding">
    <w:name w:val="Unresolved Mention"/>
    <w:basedOn w:val="Standaardalinea-lettertype"/>
    <w:uiPriority w:val="99"/>
    <w:semiHidden/>
    <w:unhideWhenUsed/>
    <w:rsid w:val="00BF65D8"/>
    <w:rPr>
      <w:color w:val="605E5C"/>
      <w:shd w:val="clear" w:color="auto" w:fill="E1DFDD"/>
    </w:rPr>
  </w:style>
  <w:style w:type="paragraph" w:styleId="Lijstalinea">
    <w:name w:val="List Paragraph"/>
    <w:basedOn w:val="Standaard"/>
    <w:uiPriority w:val="34"/>
    <w:qFormat/>
    <w:rsid w:val="001E7718"/>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34948">
      <w:bodyDiv w:val="1"/>
      <w:marLeft w:val="0"/>
      <w:marRight w:val="0"/>
      <w:marTop w:val="0"/>
      <w:marBottom w:val="0"/>
      <w:divBdr>
        <w:top w:val="none" w:sz="0" w:space="0" w:color="auto"/>
        <w:left w:val="none" w:sz="0" w:space="0" w:color="auto"/>
        <w:bottom w:val="none" w:sz="0" w:space="0" w:color="auto"/>
        <w:right w:val="none" w:sz="0" w:space="0" w:color="auto"/>
      </w:divBdr>
      <w:divsChild>
        <w:div w:id="1822498920">
          <w:marLeft w:val="806"/>
          <w:marRight w:val="0"/>
          <w:marTop w:val="200"/>
          <w:marBottom w:val="0"/>
          <w:divBdr>
            <w:top w:val="none" w:sz="0" w:space="0" w:color="auto"/>
            <w:left w:val="none" w:sz="0" w:space="0" w:color="auto"/>
            <w:bottom w:val="none" w:sz="0" w:space="0" w:color="auto"/>
            <w:right w:val="none" w:sz="0" w:space="0" w:color="auto"/>
          </w:divBdr>
        </w:div>
        <w:div w:id="1591621345">
          <w:marLeft w:val="806"/>
          <w:marRight w:val="0"/>
          <w:marTop w:val="200"/>
          <w:marBottom w:val="0"/>
          <w:divBdr>
            <w:top w:val="none" w:sz="0" w:space="0" w:color="auto"/>
            <w:left w:val="none" w:sz="0" w:space="0" w:color="auto"/>
            <w:bottom w:val="none" w:sz="0" w:space="0" w:color="auto"/>
            <w:right w:val="none" w:sz="0" w:space="0" w:color="auto"/>
          </w:divBdr>
        </w:div>
        <w:div w:id="356783472">
          <w:marLeft w:val="806"/>
          <w:marRight w:val="0"/>
          <w:marTop w:val="200"/>
          <w:marBottom w:val="0"/>
          <w:divBdr>
            <w:top w:val="none" w:sz="0" w:space="0" w:color="auto"/>
            <w:left w:val="none" w:sz="0" w:space="0" w:color="auto"/>
            <w:bottom w:val="none" w:sz="0" w:space="0" w:color="auto"/>
            <w:right w:val="none" w:sz="0" w:space="0" w:color="auto"/>
          </w:divBdr>
        </w:div>
        <w:div w:id="208976249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rgerschapmbo.n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74E9B5E10084B8CA96E8E6082C699" ma:contentTypeVersion="19" ma:contentTypeDescription="Een nieuw document maken." ma:contentTypeScope="" ma:versionID="625b61da5390da9c60c1a61ebaa8e134">
  <xsd:schema xmlns:xsd="http://www.w3.org/2001/XMLSchema" xmlns:xs="http://www.w3.org/2001/XMLSchema" xmlns:p="http://schemas.microsoft.com/office/2006/metadata/properties" xmlns:ns2="c045c8d6-b5f7-4520-a53b-0755ae0cba0f" xmlns:ns3="07ad2fc5-be12-451b-b2d5-d18b7e62272f" targetNamespace="http://schemas.microsoft.com/office/2006/metadata/properties" ma:root="true" ma:fieldsID="7ac60ea9e7d3e8b1d2200e00b1834fb7" ns2:_="" ns3:_="">
    <xsd:import namespace="c045c8d6-b5f7-4520-a53b-0755ae0cba0f"/>
    <xsd:import namespace="07ad2fc5-be12-451b-b2d5-d18b7e622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8d6-b5f7-4520-a53b-0755ae0cb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d2fc5-be12-451b-b2d5-d18b7e6227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b02907c-58ed-4705-9a43-401665177493}" ma:internalName="TaxCatchAll" ma:showField="CatchAllData" ma:web="07ad2fc5-be12-451b-b2d5-d18b7e622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5c8d6-b5f7-4520-a53b-0755ae0cba0f">
      <Terms xmlns="http://schemas.microsoft.com/office/infopath/2007/PartnerControls"/>
    </lcf76f155ced4ddcb4097134ff3c332f>
    <TaxCatchAll xmlns="07ad2fc5-be12-451b-b2d5-d18b7e62272f" xsi:nil="true"/>
  </documentManagement>
</p:properties>
</file>

<file path=customXml/itemProps1.xml><?xml version="1.0" encoding="utf-8"?>
<ds:datastoreItem xmlns:ds="http://schemas.openxmlformats.org/officeDocument/2006/customXml" ds:itemID="{4678404E-3F8C-4E85-B2C2-94F4963D5ACA}"/>
</file>

<file path=customXml/itemProps2.xml><?xml version="1.0" encoding="utf-8"?>
<ds:datastoreItem xmlns:ds="http://schemas.openxmlformats.org/officeDocument/2006/customXml" ds:itemID="{EBBEBC53-6F2C-4896-BDBD-0299164E40F0}"/>
</file>

<file path=customXml/itemProps3.xml><?xml version="1.0" encoding="utf-8"?>
<ds:datastoreItem xmlns:ds="http://schemas.openxmlformats.org/officeDocument/2006/customXml" ds:itemID="{203D9677-2036-4AD7-9A3F-B42ED576FD41}"/>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van der Kemp</dc:creator>
  <cp:keywords/>
  <dc:description/>
  <cp:lastModifiedBy>Pien van der Kemp</cp:lastModifiedBy>
  <cp:revision>56</cp:revision>
  <dcterms:created xsi:type="dcterms:W3CDTF">2024-11-21T10:31:00Z</dcterms:created>
  <dcterms:modified xsi:type="dcterms:W3CDTF">2024-12-19T11:45:00Z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0x010100A4274E9B5E10084B8CA96E8E6082C699</vt:lpwstr>
  </property>
</Properties>
</file>